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AEA0" w14:textId="1D0DA699" w:rsidR="00A525B1" w:rsidRPr="00844858" w:rsidRDefault="00A525B1" w:rsidP="00787BA5">
      <w:pPr>
        <w:rPr>
          <w:sz w:val="24"/>
          <w:szCs w:val="24"/>
        </w:rPr>
      </w:pPr>
      <w:bookmarkStart w:id="0" w:name="_Toc92866917"/>
    </w:p>
    <w:bookmarkEnd w:id="0"/>
    <w:p w14:paraId="57197DDB" w14:textId="77777777" w:rsidR="00A525B1" w:rsidRPr="00844858" w:rsidRDefault="00A525B1" w:rsidP="00A5062B">
      <w:pPr>
        <w:jc w:val="center"/>
        <w:rPr>
          <w:rFonts w:ascii="Rubik Light" w:hAnsi="Rubik Light" w:cs="Rubik Light"/>
          <w:b/>
          <w:sz w:val="24"/>
          <w:szCs w:val="24"/>
        </w:rPr>
      </w:pPr>
      <w:r w:rsidRPr="00844858">
        <w:rPr>
          <w:rFonts w:ascii="Rubik Light" w:hAnsi="Rubik Light" w:cs="Rubik Light"/>
          <w:b/>
          <w:sz w:val="24"/>
          <w:szCs w:val="24"/>
        </w:rPr>
        <w:t>ORDENANZA FISCAL</w:t>
      </w:r>
    </w:p>
    <w:p w14:paraId="07FE15E6" w14:textId="77777777" w:rsidR="00A525B1" w:rsidRPr="00844858" w:rsidRDefault="00A525B1" w:rsidP="00A5062B">
      <w:pPr>
        <w:jc w:val="center"/>
        <w:rPr>
          <w:rFonts w:ascii="Rubik Light" w:hAnsi="Rubik Light" w:cs="Rubik Light"/>
          <w:b/>
          <w:sz w:val="24"/>
          <w:szCs w:val="24"/>
        </w:rPr>
      </w:pPr>
      <w:r w:rsidRPr="00844858">
        <w:rPr>
          <w:rFonts w:ascii="Rubik Light" w:hAnsi="Rubik Light" w:cs="Rubik Light"/>
          <w:b/>
          <w:sz w:val="24"/>
          <w:szCs w:val="24"/>
        </w:rPr>
        <w:t xml:space="preserve"> IMPUESTO DEL INCREMENTO DEL VALOR DE LOS TERRENOS DE NATURALEZA URBANA</w:t>
      </w:r>
    </w:p>
    <w:p w14:paraId="03E9D42F" w14:textId="77777777" w:rsidR="00844858" w:rsidRDefault="00844858" w:rsidP="00A5062B">
      <w:pPr>
        <w:rPr>
          <w:rFonts w:ascii="Rubik Light" w:hAnsi="Rubik Light" w:cs="Rubik Light"/>
          <w:bCs/>
          <w:sz w:val="22"/>
          <w:szCs w:val="22"/>
        </w:rPr>
      </w:pPr>
    </w:p>
    <w:p w14:paraId="399ADC24" w14:textId="5F66C03D" w:rsidR="00A525B1" w:rsidRPr="005F0531" w:rsidRDefault="00A525B1" w:rsidP="00A5062B">
      <w:pPr>
        <w:rPr>
          <w:rFonts w:ascii="Rubik Light" w:hAnsi="Rubik Light" w:cs="Rubik Light"/>
          <w:bCs/>
          <w:color w:val="auto"/>
          <w:sz w:val="22"/>
          <w:szCs w:val="22"/>
        </w:rPr>
      </w:pPr>
      <w:r w:rsidRPr="005F0531">
        <w:rPr>
          <w:rFonts w:ascii="Rubik Light" w:hAnsi="Rubik Light" w:cs="Rubik Light"/>
          <w:bCs/>
          <w:sz w:val="22"/>
          <w:szCs w:val="22"/>
        </w:rPr>
        <w:t xml:space="preserve">El Ayuntamiento de </w:t>
      </w:r>
      <w:r w:rsidR="005F0531" w:rsidRPr="005F0531">
        <w:rPr>
          <w:rFonts w:ascii="Rubik Light" w:hAnsi="Rubik Light" w:cs="Rubik Light"/>
          <w:bCs/>
          <w:sz w:val="22"/>
          <w:szCs w:val="22"/>
        </w:rPr>
        <w:t>_______________________</w:t>
      </w:r>
      <w:r w:rsidRPr="005F0531">
        <w:rPr>
          <w:rFonts w:ascii="Rubik Light" w:hAnsi="Rubik Light" w:cs="Rubik Light"/>
          <w:bCs/>
          <w:sz w:val="22"/>
          <w:szCs w:val="22"/>
        </w:rPr>
        <w:t>, de conformidad con lo que establece el artículo 106.1 de la Ley 7/1985, de 2 de abril, reguladora de las Bases de Régimen Local, y haciendo uso de la facultad reglamentaria que le atribuye el artículo 15.1 del Real Decreto Legislativo 2/2004 de 5 de Marzo, por el que se aprueba el Texto Refundido de la Ley Reguladora de las Haciendas Locales (TRLRHL), establece el Impuesto sobre el Incremento del Valor de los Terrenos de Naturaleza Urbana, previsto en el artículo 59.2 de dicha Ley.</w:t>
      </w:r>
    </w:p>
    <w:p w14:paraId="04FC24C7" w14:textId="77777777" w:rsidR="00A525B1" w:rsidRPr="005F0531" w:rsidRDefault="00A525B1" w:rsidP="00A5062B">
      <w:pPr>
        <w:rPr>
          <w:rFonts w:ascii="Rubik Light" w:hAnsi="Rubik Light" w:cs="Rubik Light"/>
          <w:bCs/>
          <w:color w:val="auto"/>
          <w:sz w:val="22"/>
          <w:szCs w:val="22"/>
        </w:rPr>
      </w:pPr>
      <w:r w:rsidRPr="005F0531">
        <w:rPr>
          <w:rFonts w:ascii="Rubik Light" w:hAnsi="Rubik Light" w:cs="Rubik Light"/>
          <w:bCs/>
          <w:color w:val="auto"/>
          <w:sz w:val="22"/>
          <w:szCs w:val="22"/>
        </w:rPr>
        <w:t>El texto de la presente Ordenanza fiscal del impuesto está adaptada a la modificación introducida en el TRLRHL por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y  que ha sido objeto de convalidación, por votación del Congreso de los Diputados, el día 2 de diciembre de 2021 (BOE de 11 de diciembre de 2021).</w:t>
      </w:r>
    </w:p>
    <w:p w14:paraId="62D2E94B" w14:textId="77777777" w:rsidR="00A525B1" w:rsidRPr="005F0531" w:rsidRDefault="00A525B1" w:rsidP="00A5062B">
      <w:pPr>
        <w:rPr>
          <w:rFonts w:ascii="Rubik Light" w:hAnsi="Rubik Light" w:cs="Rubik Light"/>
          <w:bCs/>
          <w:color w:val="auto"/>
          <w:sz w:val="22"/>
          <w:szCs w:val="22"/>
        </w:rPr>
      </w:pPr>
      <w:r w:rsidRPr="005F0531">
        <w:rPr>
          <w:rFonts w:ascii="Rubik Light" w:hAnsi="Rubik Light" w:cs="Rubik Light"/>
          <w:bCs/>
          <w:color w:val="auto"/>
          <w:sz w:val="22"/>
          <w:szCs w:val="22"/>
        </w:rPr>
        <w:t xml:space="preserve">La presente norma se ajusta a los principios de buena regulación en el ejercicio de la potestad reglamentaria previstos en el artículo 129 de la Ley 39/2015, de 1 de octubre, de Procedimiento Administrativo Común de las Administraciones Públicas.  </w:t>
      </w:r>
    </w:p>
    <w:p w14:paraId="504CD63C" w14:textId="77777777" w:rsidR="00A525B1" w:rsidRPr="005F0531" w:rsidRDefault="00A525B1" w:rsidP="00A5062B">
      <w:pPr>
        <w:rPr>
          <w:rFonts w:ascii="Rubik Light" w:hAnsi="Rubik Light" w:cs="Rubik Light"/>
          <w:bCs/>
          <w:color w:val="auto"/>
          <w:sz w:val="22"/>
          <w:szCs w:val="22"/>
        </w:rPr>
      </w:pPr>
      <w:r w:rsidRPr="005F0531">
        <w:rPr>
          <w:rFonts w:ascii="Rubik Light" w:hAnsi="Rubik Light" w:cs="Rubik Light"/>
          <w:bCs/>
          <w:color w:val="auto"/>
          <w:sz w:val="22"/>
          <w:szCs w:val="22"/>
        </w:rPr>
        <w:t>Atendiendo a lo dispuesto en la Disposición transitoria única del Real Decreto-ley 26/2021 la adecuación de la presente ordenanza a lo dispuesto en el referido Real Decreto ley se realiza en el plazo de 6 meses habilitado a tal efecto, de modo que se</w:t>
      </w:r>
      <w:r w:rsidRPr="005F0531">
        <w:rPr>
          <w:rFonts w:ascii="Rubik Light" w:hAnsi="Rubik Light" w:cs="Rubik Light"/>
          <w:color w:val="auto"/>
          <w:sz w:val="22"/>
          <w:szCs w:val="22"/>
        </w:rPr>
        <w:t xml:space="preserve"> </w:t>
      </w:r>
      <w:r w:rsidRPr="005F0531">
        <w:rPr>
          <w:rFonts w:ascii="Rubik Light" w:hAnsi="Rubik Light" w:cs="Rubik Light"/>
          <w:bCs/>
          <w:color w:val="auto"/>
          <w:sz w:val="22"/>
          <w:szCs w:val="22"/>
        </w:rPr>
        <w:t>cumple con los principios de eficacia y eficiencia en la modificación de la norma, así como la seguridad jurídica y transparencia que quedan garantizados a través del trámite de aprobación provisional, exposición pública y aprobación definitiva.</w:t>
      </w:r>
    </w:p>
    <w:p w14:paraId="2EC39C88" w14:textId="77777777" w:rsidR="00A525B1" w:rsidRPr="005F0531" w:rsidRDefault="00A525B1" w:rsidP="00A5062B">
      <w:pPr>
        <w:rPr>
          <w:rFonts w:ascii="Rubik Light" w:hAnsi="Rubik Light" w:cs="Rubik Light"/>
          <w:bCs/>
          <w:color w:val="0070C0"/>
          <w:sz w:val="22"/>
          <w:szCs w:val="22"/>
        </w:rPr>
      </w:pPr>
    </w:p>
    <w:p w14:paraId="2158D3FE" w14:textId="77777777" w:rsidR="00A525B1" w:rsidRPr="005F0531" w:rsidRDefault="00A525B1" w:rsidP="00A5062B">
      <w:pPr>
        <w:jc w:val="center"/>
        <w:rPr>
          <w:rFonts w:ascii="Rubik Light" w:hAnsi="Rubik Light" w:cs="Rubik Light"/>
          <w:b/>
          <w:color w:val="auto"/>
          <w:sz w:val="22"/>
          <w:szCs w:val="22"/>
        </w:rPr>
      </w:pPr>
      <w:r w:rsidRPr="005F0531">
        <w:rPr>
          <w:rFonts w:ascii="Rubik Light" w:hAnsi="Rubik Light" w:cs="Rubik Light"/>
          <w:b/>
          <w:sz w:val="22"/>
          <w:szCs w:val="22"/>
        </w:rPr>
        <w:t>CAPÍTULO I. DISPOSICIÓN GENERAL</w:t>
      </w:r>
    </w:p>
    <w:p w14:paraId="67C96EC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Artículo 1.</w:t>
      </w:r>
    </w:p>
    <w:p w14:paraId="35AC5270" w14:textId="3D0B2A83" w:rsidR="00A525B1" w:rsidRPr="005F0531" w:rsidRDefault="00A525B1" w:rsidP="00A5062B">
      <w:pPr>
        <w:rPr>
          <w:rFonts w:ascii="Rubik Light" w:hAnsi="Rubik Light" w:cs="Rubik Light"/>
          <w:bCs/>
          <w:color w:val="FF0000"/>
          <w:sz w:val="22"/>
          <w:szCs w:val="22"/>
        </w:rPr>
      </w:pPr>
      <w:r w:rsidRPr="005F0531">
        <w:rPr>
          <w:rFonts w:ascii="Rubik Light" w:hAnsi="Rubik Light" w:cs="Rubik Light"/>
          <w:sz w:val="22"/>
          <w:szCs w:val="22"/>
        </w:rPr>
        <w:t>El Impuesto sobre el Incremento de Valor de los Terrenos de Naturaleza Urbana (IIVTNU) es un tributo directo que los Ayuntamientos podrán establecer</w:t>
      </w:r>
      <w:r w:rsidRPr="005F0531">
        <w:rPr>
          <w:rFonts w:ascii="Rubik Light" w:hAnsi="Rubik Light" w:cs="Rubik Light"/>
          <w:bCs/>
          <w:sz w:val="22"/>
          <w:szCs w:val="22"/>
        </w:rPr>
        <w:t xml:space="preserve">, cuya exacción se efectuará con sujeción a lo dispuesto esta Ordenanza y en la Ordenanza Fiscal </w:t>
      </w:r>
      <w:r w:rsidR="00844858">
        <w:rPr>
          <w:rFonts w:ascii="Rubik Light" w:hAnsi="Rubik Light" w:cs="Rubik Light"/>
          <w:bCs/>
          <w:sz w:val="22"/>
          <w:szCs w:val="22"/>
        </w:rPr>
        <w:t>G</w:t>
      </w:r>
      <w:r w:rsidRPr="005F0531">
        <w:rPr>
          <w:rFonts w:ascii="Rubik Light" w:hAnsi="Rubik Light" w:cs="Rubik Light"/>
          <w:bCs/>
          <w:sz w:val="22"/>
          <w:szCs w:val="22"/>
        </w:rPr>
        <w:t>eneral del OAR.</w:t>
      </w:r>
    </w:p>
    <w:p w14:paraId="2EE373B9"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En lo no previsto en la presente ordenanza se regirá por lo dispuesto en los artículos 104 a 110 del </w:t>
      </w:r>
      <w:r w:rsidRPr="005F0531">
        <w:rPr>
          <w:rFonts w:ascii="Rubik Light" w:hAnsi="Rubik Light" w:cs="Rubik Light"/>
          <w:bCs/>
          <w:sz w:val="22"/>
          <w:szCs w:val="22"/>
        </w:rPr>
        <w:t>TRLRHL</w:t>
      </w:r>
      <w:r w:rsidRPr="005F0531">
        <w:rPr>
          <w:rFonts w:ascii="Rubik Light" w:hAnsi="Rubik Light" w:cs="Rubik Light"/>
          <w:sz w:val="22"/>
          <w:szCs w:val="22"/>
        </w:rPr>
        <w:t>.</w:t>
      </w:r>
    </w:p>
    <w:p w14:paraId="66DB3C4C" w14:textId="77777777" w:rsidR="00A525B1" w:rsidRPr="005F0531" w:rsidRDefault="00A525B1" w:rsidP="00A5062B">
      <w:pPr>
        <w:rPr>
          <w:rFonts w:ascii="Rubik Light" w:hAnsi="Rubik Light" w:cs="Rubik Light"/>
          <w:sz w:val="22"/>
          <w:szCs w:val="22"/>
        </w:rPr>
      </w:pPr>
    </w:p>
    <w:p w14:paraId="479371EC" w14:textId="77777777" w:rsidR="00844858" w:rsidRDefault="00844858" w:rsidP="00A5062B">
      <w:pPr>
        <w:jc w:val="center"/>
        <w:rPr>
          <w:rFonts w:ascii="Rubik Light" w:hAnsi="Rubik Light" w:cs="Rubik Light"/>
          <w:b/>
          <w:sz w:val="22"/>
          <w:szCs w:val="22"/>
        </w:rPr>
      </w:pPr>
    </w:p>
    <w:p w14:paraId="7E07A3D5" w14:textId="77777777" w:rsidR="00844858" w:rsidRDefault="00844858" w:rsidP="00A5062B">
      <w:pPr>
        <w:jc w:val="center"/>
        <w:rPr>
          <w:rFonts w:ascii="Rubik Light" w:hAnsi="Rubik Light" w:cs="Rubik Light"/>
          <w:b/>
          <w:sz w:val="22"/>
          <w:szCs w:val="22"/>
        </w:rPr>
      </w:pPr>
    </w:p>
    <w:p w14:paraId="59170699" w14:textId="77777777" w:rsidR="00844858" w:rsidRDefault="00844858" w:rsidP="00A5062B">
      <w:pPr>
        <w:jc w:val="center"/>
        <w:rPr>
          <w:rFonts w:ascii="Rubik Light" w:hAnsi="Rubik Light" w:cs="Rubik Light"/>
          <w:b/>
          <w:sz w:val="22"/>
          <w:szCs w:val="22"/>
        </w:rPr>
      </w:pPr>
    </w:p>
    <w:p w14:paraId="03A52361" w14:textId="06251EB0"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lastRenderedPageBreak/>
        <w:t>CAPÍTULO II. HECHO IMPONIBLE</w:t>
      </w:r>
    </w:p>
    <w:p w14:paraId="714AE5B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Artículo 2. </w:t>
      </w:r>
    </w:p>
    <w:p w14:paraId="615AFD56" w14:textId="75BFD438"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1. Constituye el hecho imponible el incremento de valor que experimenten los terrenos de naturaleza urbana y que se ponga de manifiesto a consecuencia de la transmisión de su propiedad por cualquier título o de la constitución o transmisión de cualquier derecho real de goce, limitativo del dominio, sobre los referidos bienes.</w:t>
      </w:r>
    </w:p>
    <w:p w14:paraId="7AB5A913" w14:textId="5EC0CA84"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2. El título a que se refiere el apartado anterior será todo hecho, acto o negocio jurídico, cualquiera que sea su forma, que origine un cambio del sujeto titular de las facultades dominicales de disposición o aprovechamiento sobre un terreno o adquisición</w:t>
      </w:r>
      <w:r w:rsidR="005F0531" w:rsidRPr="005F0531">
        <w:rPr>
          <w:rFonts w:ascii="Rubik Light" w:hAnsi="Rubik Light" w:cs="Rubik Light"/>
          <w:sz w:val="22"/>
          <w:szCs w:val="22"/>
        </w:rPr>
        <w:t xml:space="preserve"> </w:t>
      </w:r>
      <w:r w:rsidRPr="005F0531">
        <w:rPr>
          <w:rFonts w:ascii="Rubik Light" w:hAnsi="Rubik Light" w:cs="Rubik Light"/>
          <w:sz w:val="22"/>
          <w:szCs w:val="22"/>
        </w:rPr>
        <w:t xml:space="preserve">de cualquier otro derecho real, ya tenga lugar por ministerio de la Ley, por actos mortis-causa o </w:t>
      </w:r>
      <w:proofErr w:type="spellStart"/>
      <w:r w:rsidRPr="005F0531">
        <w:rPr>
          <w:rFonts w:ascii="Rubik Light" w:hAnsi="Rubik Light" w:cs="Rubik Light"/>
          <w:sz w:val="22"/>
          <w:szCs w:val="22"/>
        </w:rPr>
        <w:t>inter-vivos</w:t>
      </w:r>
      <w:proofErr w:type="spellEnd"/>
      <w:r w:rsidRPr="005F0531">
        <w:rPr>
          <w:rFonts w:ascii="Rubik Light" w:hAnsi="Rubik Light" w:cs="Rubik Light"/>
          <w:sz w:val="22"/>
          <w:szCs w:val="22"/>
        </w:rPr>
        <w:t xml:space="preserve">, a título oneroso o gratuito. </w:t>
      </w:r>
    </w:p>
    <w:p w14:paraId="26244021" w14:textId="77777777" w:rsidR="00A525B1" w:rsidRPr="005F0531" w:rsidRDefault="00A525B1" w:rsidP="00A5062B">
      <w:pPr>
        <w:rPr>
          <w:rFonts w:ascii="Rubik Light" w:hAnsi="Rubik Light" w:cs="Rubik Light"/>
          <w:sz w:val="22"/>
          <w:szCs w:val="22"/>
        </w:rPr>
      </w:pPr>
    </w:p>
    <w:p w14:paraId="57BD002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3. </w:t>
      </w:r>
    </w:p>
    <w:p w14:paraId="08BB29DE" w14:textId="6D24B3AB"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En consecuencia con ello, está sujeto el incremento de valor que experimenten los terrenos que deban tener la consideración de urbanos, a efectos de dicho Impuesto sobre Bienes Inmuebles, con independencia de que estén o no contemplados como tales en el Catastro o en el padrón de aquél. A los efectos de este impuesto, estará asimismo sujeto a éste el incremento de valor que experimenten los terrenos integrados en los bienes inmuebles clasificados como de características especiales a efectos del Impuesto sobre Bienes Inmuebles</w:t>
      </w:r>
      <w:r w:rsidR="004F7B42">
        <w:rPr>
          <w:rFonts w:ascii="Rubik Light" w:hAnsi="Rubik Light" w:cs="Rubik Light"/>
          <w:color w:val="auto"/>
          <w:sz w:val="22"/>
          <w:szCs w:val="22"/>
        </w:rPr>
        <w:t>.</w:t>
      </w:r>
    </w:p>
    <w:p w14:paraId="6B57371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4. </w:t>
      </w:r>
    </w:p>
    <w:p w14:paraId="0BEA0537"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No se producirá la sujeción al impuesto en los supuestos de:</w:t>
      </w:r>
    </w:p>
    <w:p w14:paraId="2BD6D2F1" w14:textId="340D9EEF"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a) La transmisión de terrenos que tengan la consideración de rústicos a efectos del Impuesto sobre Bienes Inmuebles</w:t>
      </w:r>
      <w:r w:rsidR="004F7B42">
        <w:rPr>
          <w:rFonts w:ascii="Rubik Light" w:hAnsi="Rubik Light" w:cs="Rubik Light"/>
          <w:sz w:val="22"/>
          <w:szCs w:val="22"/>
        </w:rPr>
        <w:t>.</w:t>
      </w:r>
    </w:p>
    <w:p w14:paraId="6B6737B9"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b) Aportaciones de bienes y derechos realizadas por los cónyuges a la sociedad conyugal, adjudicaciones que a su favor y en pago de ellas se verifiquen y transmisiones que se hagan a los cónyuges en pago de sus haberes comunes.</w:t>
      </w:r>
    </w:p>
    <w:p w14:paraId="71D19BAE"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c) Tampoco se producirá la sujeción al impuesto en los supuestos de transmisiones de bienes inmuebles entre cónyuges o a favor de los hijos, como consecuencia del cumplimiento de sentencias en los casos de nulidad, separación o divorcio matrimonial, sea cual sea el régimen económico matrimonial.</w:t>
      </w:r>
    </w:p>
    <w:p w14:paraId="114E5C92"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d) No se devengará el impuesto con ocasión de las aportaciones o transmisiones de bienes inmuebles efectuadas a la Sociedad de Gestión de Activos Procedentes de la Reestructuración Bancaria, S.A. regulada en la disposición adicional séptima de la Ley 9/2012, de 14 de noviembre, de reestructuración y resolución de entidades de crédito, que se le hayan transferido, de acuerdo con lo establecido en el artículo 48 del Real Decreto 1559/2012, de 15 de noviembre, por el que se establece el régimen jurídico de las sociedades de gestión de activos.</w:t>
      </w:r>
    </w:p>
    <w:p w14:paraId="06421859"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 xml:space="preserve">e) No se producirá el devengo del impuesto con ocasión de las aportaciones o transmisiones realizadas por la Sociedad de Gestión de Activos Procedentes de la Reestructuración Bancaria, S.A., a entidades participadas directa o indirectamente por dicha Sociedad en al menos el 50 por ciento del capital, fondos propios, resultados o </w:t>
      </w:r>
      <w:r w:rsidRPr="005F0531">
        <w:rPr>
          <w:rFonts w:ascii="Rubik Light" w:hAnsi="Rubik Light" w:cs="Rubik Light"/>
          <w:sz w:val="22"/>
          <w:szCs w:val="22"/>
        </w:rPr>
        <w:lastRenderedPageBreak/>
        <w:t xml:space="preserve">derechos de voto de la entidad participada en el momento inmediatamente anterior a la transmisión, o como consecuencia de </w:t>
      </w:r>
      <w:proofErr w:type="gramStart"/>
      <w:r w:rsidRPr="005F0531">
        <w:rPr>
          <w:rFonts w:ascii="Rubik Light" w:hAnsi="Rubik Light" w:cs="Rubik Light"/>
          <w:sz w:val="22"/>
          <w:szCs w:val="22"/>
        </w:rPr>
        <w:t>la misma</w:t>
      </w:r>
      <w:proofErr w:type="gramEnd"/>
      <w:r w:rsidRPr="005F0531">
        <w:rPr>
          <w:rFonts w:ascii="Rubik Light" w:hAnsi="Rubik Light" w:cs="Rubik Light"/>
          <w:sz w:val="22"/>
          <w:szCs w:val="22"/>
        </w:rPr>
        <w:t>.</w:t>
      </w:r>
    </w:p>
    <w:p w14:paraId="30ACB080"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f) No se devengará el impuesto con ocasión de las aportaciones o transmisiones realizadas por la Sociedad de Gestión de Activos Procedentes de la Reestructuración Bancaria, S.A., o por las entidades constituidas por esta para cumplir con su objeto social, a los fondos de activos bancarios, a que se refiere la disposición adicional décima de la Ley 9/2012, de 14 de noviembre.</w:t>
      </w:r>
    </w:p>
    <w:p w14:paraId="6BFBF1BE"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g) No se devengará el impuesto por las aportaciones o transmisiones que se produzcan entre los citados Fondos durante el período de tiempo de mantenimiento de la exposición del Fondo de Reestructuración Ordenada Bancaria a los Fondos, previsto en el apartado 10 de dicha disposición adicional décima.</w:t>
      </w:r>
    </w:p>
    <w:p w14:paraId="3B75FEA9"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En la posterior transmisión de los inmuebles se entenderá que el número de años a lo largo de los cuales se ha puesto de manifiesto el incremento de valor de los terrenos no se ha interrumpido por causa de la transmisión derivada de las operaciones previstas en este apartado.</w:t>
      </w:r>
    </w:p>
    <w:p w14:paraId="38B75DF4"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h) No se producirá la sujeción al impuesto en las transmisiones de terrenos respecto de los cuales se constate la inexistencia de incremento de valor por diferencia entre los valores de dichos terrenos en las fechas de transmisión y adquisición.</w:t>
      </w:r>
    </w:p>
    <w:p w14:paraId="6D9C3B32"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Para ello, el interesado en acreditar la inexistencia de incremento de valor deberá declarar la transmisión, así como aportar los títulos que documenten la transmisión y la adquisición, entendiéndose por interesados, a estos efectos, las personas o entidades a que se refiere el artículo 106 TRLHL.</w:t>
      </w:r>
    </w:p>
    <w:p w14:paraId="1D97DA0A"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Para constatar la inexistencia de incremento de valor, como valor de transmisión o de adquisición del terreno se tomará en cada caso el mayor de los siguientes valores, sin que a estos efectos puedan computarse los gastos o tributos que graven dichas operaciones: el que conste en el título que documente la operación o el comprobado, en su caso, por la Administración tributaria.</w:t>
      </w:r>
    </w:p>
    <w:p w14:paraId="65946242"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Cuando se trate de la transmisión de un inmueble en el que haya suelo y construcción, se tomará como valor del suelo a estos efectos el que resulte de aplicar la proporción que represente en la fecha de devengo del impuesto el valor catastral del terreno respecto del valor catastral total y esta proporción se aplicará tanto al valor de transmisión como, en su caso, al de adquisición.</w:t>
      </w:r>
    </w:p>
    <w:p w14:paraId="088A79C3" w14:textId="77777777" w:rsidR="00A525B1" w:rsidRPr="005F0531" w:rsidRDefault="00A525B1" w:rsidP="008A0179">
      <w:pPr>
        <w:pStyle w:val="parrafo"/>
        <w:jc w:val="both"/>
        <w:rPr>
          <w:rFonts w:ascii="Rubik Light" w:hAnsi="Rubik Light" w:cs="Rubik Light"/>
          <w:sz w:val="22"/>
          <w:szCs w:val="22"/>
        </w:rPr>
      </w:pPr>
      <w:r w:rsidRPr="005F0531">
        <w:rPr>
          <w:rFonts w:ascii="Rubik Light" w:hAnsi="Rubik Light" w:cs="Rubik Light"/>
          <w:sz w:val="22"/>
          <w:szCs w:val="22"/>
        </w:rPr>
        <w:t>Si la adquisición o la transmisión hubiera sido a título lucrativo se aplicarán las reglas de los párrafos anteriores tomando, en su caso, por el primero de los dos valores a comparar señalados anteriormente, el declarado en el Impuesto sobre Sucesiones y Donaciones.</w:t>
      </w:r>
    </w:p>
    <w:p w14:paraId="436DE403" w14:textId="77777777" w:rsidR="00A525B1" w:rsidRPr="005F0531" w:rsidRDefault="00A525B1" w:rsidP="002045F1">
      <w:pPr>
        <w:pStyle w:val="parrafo"/>
        <w:jc w:val="both"/>
        <w:rPr>
          <w:rFonts w:ascii="Rubik Light" w:hAnsi="Rubik Light" w:cs="Rubik Light"/>
          <w:sz w:val="22"/>
          <w:szCs w:val="22"/>
        </w:rPr>
      </w:pPr>
      <w:r w:rsidRPr="005F0531">
        <w:rPr>
          <w:rFonts w:ascii="Rubik Light" w:hAnsi="Rubik Light" w:cs="Rubik Light"/>
          <w:sz w:val="22"/>
          <w:szCs w:val="22"/>
        </w:rPr>
        <w:t xml:space="preserve">En la posterior transmisión de los inmuebles a los que se refiere este apartado, para el cómputo del número de años a lo largo de los cuales se ha puesto de manifiesto el incremento de valor de los terrenos, no se tendrá en cuenta el periodo anterior a su adquisición. Lo dispuesto en este párrafo no </w:t>
      </w:r>
      <w:proofErr w:type="gramStart"/>
      <w:r w:rsidRPr="005F0531">
        <w:rPr>
          <w:rFonts w:ascii="Rubik Light" w:hAnsi="Rubik Light" w:cs="Rubik Light"/>
          <w:sz w:val="22"/>
          <w:szCs w:val="22"/>
        </w:rPr>
        <w:t>será de aplicación</w:t>
      </w:r>
      <w:proofErr w:type="gramEnd"/>
      <w:r w:rsidRPr="005F0531">
        <w:rPr>
          <w:rFonts w:ascii="Rubik Light" w:hAnsi="Rubik Light" w:cs="Rubik Light"/>
          <w:sz w:val="22"/>
          <w:szCs w:val="22"/>
        </w:rPr>
        <w:t xml:space="preserve"> en los supuestos de aportaciones o transmisiones de bienes inmuebles que resulten no sujetas en virtud de lo dispuesto en el apartado 3 de este artículo o en la disposición adicional segunda de la Ley 27/2014, de 27 de noviembre, del Impuesto sobre Sociedades.</w:t>
      </w:r>
    </w:p>
    <w:p w14:paraId="0036C02A" w14:textId="77777777" w:rsidR="004F7B42" w:rsidRDefault="004F7B42" w:rsidP="00A5062B">
      <w:pPr>
        <w:jc w:val="center"/>
        <w:rPr>
          <w:rFonts w:ascii="Rubik Light" w:hAnsi="Rubik Light" w:cs="Rubik Light"/>
          <w:b/>
          <w:sz w:val="22"/>
          <w:szCs w:val="22"/>
        </w:rPr>
      </w:pPr>
    </w:p>
    <w:p w14:paraId="69D12D71" w14:textId="0996FB63"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lastRenderedPageBreak/>
        <w:t>CAPÍTULO III. EXENCIONES Y BONIFICACIONES</w:t>
      </w:r>
    </w:p>
    <w:p w14:paraId="77D8317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5. </w:t>
      </w:r>
    </w:p>
    <w:p w14:paraId="3BEF221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Están exentos de este impuesto los supuestos contemplados en el artículo 105 del TRLRHL:</w:t>
      </w:r>
    </w:p>
    <w:p w14:paraId="5FFC71B3"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1. Estarán exentos de este impuesto los incrementos de valor que se manifiesten como consecuencia de los siguientes actos:</w:t>
      </w:r>
    </w:p>
    <w:p w14:paraId="72A2BE96" w14:textId="77777777" w:rsidR="00A525B1" w:rsidRPr="005F0531" w:rsidRDefault="00A525B1" w:rsidP="00AF63EC">
      <w:pPr>
        <w:pStyle w:val="parrafo2"/>
        <w:jc w:val="both"/>
        <w:rPr>
          <w:rFonts w:ascii="Rubik Light" w:hAnsi="Rubik Light" w:cs="Rubik Light"/>
          <w:sz w:val="22"/>
          <w:szCs w:val="22"/>
        </w:rPr>
      </w:pPr>
      <w:r w:rsidRPr="005F0531">
        <w:rPr>
          <w:rFonts w:ascii="Rubik Light" w:hAnsi="Rubik Light" w:cs="Rubik Light"/>
          <w:sz w:val="22"/>
          <w:szCs w:val="22"/>
        </w:rPr>
        <w:t>a) La constitución y transmisión de derechos de servidumbre.</w:t>
      </w:r>
    </w:p>
    <w:p w14:paraId="6876632C"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 xml:space="preserve">b) Las transmisiones de bienes que se encuentren dentro del perímetro delimitado como Conjunto Histórico-Artístico, o hayan sido declarados individualmente de interés cultural, según lo establecido en la Ley 16/1985, de 25 de junio, del Patrimonio Histórico Español, cuando sus propietarios o titulares de derechos reales acrediten que han realizado a su cargo obras de conservación, mejora o rehabilitación en dichos inmuebles. </w:t>
      </w:r>
    </w:p>
    <w:p w14:paraId="20C7715E" w14:textId="10DEEE6B" w:rsidR="00A525B1" w:rsidRPr="005F0531" w:rsidRDefault="00A525B1" w:rsidP="00AF63EC">
      <w:pPr>
        <w:rPr>
          <w:rFonts w:ascii="Rubik Light" w:hAnsi="Rubik Light" w:cs="Rubik Light"/>
          <w:sz w:val="22"/>
          <w:szCs w:val="22"/>
        </w:rPr>
      </w:pPr>
      <w:r w:rsidRPr="005F0531">
        <w:rPr>
          <w:rFonts w:ascii="Rubik Light" w:hAnsi="Rubik Light" w:cs="Rubik Light"/>
          <w:sz w:val="22"/>
          <w:szCs w:val="22"/>
        </w:rPr>
        <w:t>- Respecto de estas transmisiones de bienes, siempre que se cumplan las siguientes condiciones:</w:t>
      </w:r>
    </w:p>
    <w:p w14:paraId="1E54E995" w14:textId="77777777" w:rsidR="00A525B1" w:rsidRPr="005F0531" w:rsidRDefault="00A525B1" w:rsidP="00AF63EC">
      <w:pPr>
        <w:pStyle w:val="Prrafodelista"/>
        <w:numPr>
          <w:ilvl w:val="0"/>
          <w:numId w:val="7"/>
        </w:numPr>
        <w:rPr>
          <w:rFonts w:ascii="Rubik Light" w:hAnsi="Rubik Light" w:cs="Rubik Light"/>
          <w:sz w:val="22"/>
          <w:szCs w:val="22"/>
        </w:rPr>
      </w:pPr>
      <w:r w:rsidRPr="005F0531">
        <w:rPr>
          <w:rFonts w:ascii="Rubik Light" w:hAnsi="Rubik Light" w:cs="Rubik Light"/>
          <w:sz w:val="22"/>
          <w:szCs w:val="22"/>
        </w:rPr>
        <w:t>Que las obras se hayan realizado en los años en el transcurso de los cuales se haya puesto de manifiesto el incremento de valor, tras la obtención de la correspondiente licencia municipal y de conformidad con las normas reguladoras del régimen de protección de esta clase de bienes.</w:t>
      </w:r>
    </w:p>
    <w:p w14:paraId="3A91C914" w14:textId="77777777" w:rsidR="00A525B1" w:rsidRPr="005F0531" w:rsidRDefault="00A525B1" w:rsidP="00AF63EC">
      <w:pPr>
        <w:pStyle w:val="Prrafodelista"/>
        <w:ind w:left="1428"/>
        <w:rPr>
          <w:rFonts w:ascii="Rubik Light" w:hAnsi="Rubik Light" w:cs="Rubik Light"/>
          <w:sz w:val="22"/>
          <w:szCs w:val="22"/>
        </w:rPr>
      </w:pPr>
    </w:p>
    <w:p w14:paraId="05DBD6D7" w14:textId="77777777" w:rsidR="00A525B1" w:rsidRPr="005F0531" w:rsidRDefault="00A525B1" w:rsidP="00AF63EC">
      <w:pPr>
        <w:pStyle w:val="Prrafodelista"/>
        <w:numPr>
          <w:ilvl w:val="0"/>
          <w:numId w:val="7"/>
        </w:numPr>
        <w:rPr>
          <w:rFonts w:ascii="Rubik Light" w:hAnsi="Rubik Light" w:cs="Rubik Light"/>
          <w:sz w:val="22"/>
          <w:szCs w:val="22"/>
        </w:rPr>
      </w:pPr>
      <w:r w:rsidRPr="005F0531">
        <w:rPr>
          <w:rFonts w:ascii="Rubik Light" w:hAnsi="Rubik Light" w:cs="Rubik Light"/>
          <w:sz w:val="22"/>
          <w:szCs w:val="22"/>
        </w:rPr>
        <w:t>Que el importe total de las obras, de acuerdo con el presupuesto o los presupuestos presentados a efectos del otorgamiento de la licencia, cubran como mínimo el incremento de valor.</w:t>
      </w:r>
    </w:p>
    <w:p w14:paraId="5DCDB006" w14:textId="77777777" w:rsidR="00A525B1" w:rsidRPr="005F0531" w:rsidRDefault="00A525B1" w:rsidP="00AF63EC">
      <w:pPr>
        <w:ind w:left="708"/>
        <w:rPr>
          <w:rFonts w:ascii="Rubik Light" w:hAnsi="Rubik Light" w:cs="Rubik Light"/>
          <w:sz w:val="22"/>
          <w:szCs w:val="22"/>
        </w:rPr>
      </w:pPr>
    </w:p>
    <w:p w14:paraId="36E6BFAE" w14:textId="77777777" w:rsidR="00A525B1" w:rsidRPr="005F0531" w:rsidRDefault="00A525B1" w:rsidP="00AF63EC">
      <w:pPr>
        <w:rPr>
          <w:rFonts w:ascii="Rubik Light" w:hAnsi="Rubik Light" w:cs="Rubik Light"/>
          <w:sz w:val="22"/>
          <w:szCs w:val="22"/>
        </w:rPr>
      </w:pPr>
      <w:r w:rsidRPr="005F0531">
        <w:rPr>
          <w:rFonts w:ascii="Rubik Light" w:hAnsi="Rubik Light" w:cs="Rubik Light"/>
          <w:sz w:val="22"/>
          <w:szCs w:val="22"/>
        </w:rPr>
        <w:t xml:space="preserve">En la solicitud de exención, se acompañará la prueba documental acreditativa del cumplimiento de las condiciones señaladas y, en su defecto o si esta prueba es insuficiente, la que se considere adecuada en sustitución o como complemento de esta prueba. </w:t>
      </w:r>
    </w:p>
    <w:p w14:paraId="4D544675"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 xml:space="preserve">c) Las transmisiones realizadas por personas físicas con ocasión de la dación en pago de la vivienda habitual del deudor hipotecario o garante </w:t>
      </w:r>
      <w:proofErr w:type="gramStart"/>
      <w:r w:rsidRPr="005F0531">
        <w:rPr>
          <w:rFonts w:ascii="Rubik Light" w:hAnsi="Rubik Light" w:cs="Rubik Light"/>
          <w:sz w:val="22"/>
          <w:szCs w:val="22"/>
        </w:rPr>
        <w:t>del mismo</w:t>
      </w:r>
      <w:proofErr w:type="gramEnd"/>
      <w:r w:rsidRPr="005F0531">
        <w:rPr>
          <w:rFonts w:ascii="Rubik Light" w:hAnsi="Rubik Light" w:cs="Rubik Light"/>
          <w:sz w:val="22"/>
          <w:szCs w:val="22"/>
        </w:rPr>
        <w:t>, para la cancelación de deudas garantizadas con hipoteca que recaiga sobre la misma, contraídas con entidades de crédito o cualquier otra entidad que, de manera profesional, realice la actividad de concesión de préstamos o créditos hipotecarios.</w:t>
      </w:r>
    </w:p>
    <w:p w14:paraId="351FE4F3"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Asimismo, estarán exentas las transmisiones de la vivienda en que concurran los requisitos anteriores, realizadas en ejecuciones hipotecarias judiciales o notariales.</w:t>
      </w:r>
    </w:p>
    <w:p w14:paraId="239F0E14"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Para tener derecho a la exención se requiere que el deudor o garante transmitente o cualquier otro miembro de su unidad familiar no disponga, en el momento de poder evitar la enajenación de la vivienda, de otros bienes o derechos en cuantía suficiente para satisfacer la totalidad de la deuda hipotecaria. Se presumirá el cumplimiento de este requisito. No obstante, si con posterioridad se comprobara lo contrario, se procederá a girar la liquidación tributaria correspondiente.</w:t>
      </w:r>
    </w:p>
    <w:p w14:paraId="27EBD9E7"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 xml:space="preserve">A estos efectos, se considerará vivienda habitual aquella en la que haya figurado empadronado el contribuyente de forma ininterrumpida durante, al menos, los dos años </w:t>
      </w:r>
      <w:r w:rsidRPr="005F0531">
        <w:rPr>
          <w:rFonts w:ascii="Rubik Light" w:hAnsi="Rubik Light" w:cs="Rubik Light"/>
          <w:sz w:val="22"/>
          <w:szCs w:val="22"/>
        </w:rPr>
        <w:lastRenderedPageBreak/>
        <w:t>anteriores a la transmisión o desde el momento de la adquisición si dicho plazo fuese inferior a los dos años.</w:t>
      </w:r>
    </w:p>
    <w:p w14:paraId="1E133515"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Respecto al concepto de unidad familiar, se estará a lo dispuesto en la Ley 35/2006, de 28 de noviembre, del Impuesto sobre la Renta de las Personas Físicas y de modificación parcial de las leyes de los Impuestos sobre Sociedades, sobre la Renta de no Residentes y sobre el Patrimonio. A estos efectos, se equiparará el matrimonio con la pareja de hecho legalmente inscrita.</w:t>
      </w:r>
    </w:p>
    <w:p w14:paraId="227A55BF" w14:textId="77777777" w:rsidR="00A525B1" w:rsidRPr="005F0531" w:rsidRDefault="00A525B1" w:rsidP="00AF63EC">
      <w:pPr>
        <w:pStyle w:val="parrafo2"/>
        <w:jc w:val="both"/>
        <w:rPr>
          <w:rFonts w:ascii="Rubik Light" w:hAnsi="Rubik Light" w:cs="Rubik Light"/>
          <w:sz w:val="22"/>
          <w:szCs w:val="22"/>
        </w:rPr>
      </w:pPr>
      <w:r w:rsidRPr="005F0531">
        <w:rPr>
          <w:rFonts w:ascii="Rubik Light" w:hAnsi="Rubik Light" w:cs="Rubik Light"/>
          <w:sz w:val="22"/>
          <w:szCs w:val="22"/>
        </w:rPr>
        <w:t>2. Asimismo, estarán exentos de este impuesto los correspondientes incrementos de valor cuando la obligación de satisfacer aquél recaiga sobre las siguientes personas o entidades:</w:t>
      </w:r>
    </w:p>
    <w:p w14:paraId="4A384B51" w14:textId="77777777" w:rsidR="00A525B1" w:rsidRPr="005F0531" w:rsidRDefault="00A525B1" w:rsidP="00AF63EC">
      <w:pPr>
        <w:pStyle w:val="parrafo2"/>
        <w:jc w:val="both"/>
        <w:rPr>
          <w:rFonts w:ascii="Rubik Light" w:hAnsi="Rubik Light" w:cs="Rubik Light"/>
          <w:sz w:val="22"/>
          <w:szCs w:val="22"/>
        </w:rPr>
      </w:pPr>
      <w:r w:rsidRPr="005F0531">
        <w:rPr>
          <w:rFonts w:ascii="Rubik Light" w:hAnsi="Rubik Light" w:cs="Rubik Light"/>
          <w:sz w:val="22"/>
          <w:szCs w:val="22"/>
        </w:rPr>
        <w:t>a) El Estado, las comunidades autónomas y las entidades locales, a las que pertenezca el municipio, así como los organismos autónomos del Estado y las entidades de derecho público de análogo carácter de las comunidades autónomas y de dichas entidades locales.</w:t>
      </w:r>
    </w:p>
    <w:p w14:paraId="6CAE2E7A"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b) El municipio de la imposición y demás entidades locales integradas o en las que se integre dicho municipio, así como sus respectivas entidades de derecho público de análogo carácter a los organismos autónomos del Estado.</w:t>
      </w:r>
    </w:p>
    <w:p w14:paraId="7139E62B"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c) Las instituciones que tengan la calificación de benéficas o de benéfico-docentes.</w:t>
      </w:r>
    </w:p>
    <w:p w14:paraId="553FF688" w14:textId="77777777" w:rsidR="00A525B1" w:rsidRPr="005F0531" w:rsidRDefault="00A525B1" w:rsidP="00AF63EC">
      <w:pPr>
        <w:pStyle w:val="parrafo"/>
        <w:jc w:val="both"/>
        <w:rPr>
          <w:rFonts w:ascii="Rubik Light" w:hAnsi="Rubik Light" w:cs="Rubik Light"/>
          <w:color w:val="0000FF"/>
          <w:sz w:val="22"/>
          <w:szCs w:val="22"/>
        </w:rPr>
      </w:pPr>
      <w:r w:rsidRPr="005F0531">
        <w:rPr>
          <w:rFonts w:ascii="Rubik Light" w:hAnsi="Rubik Light" w:cs="Rubik Light"/>
          <w:sz w:val="22"/>
          <w:szCs w:val="22"/>
        </w:rPr>
        <w:t>-Esto es, estarán exentos de este impuesto los correspondientes incrementos de valor cuando la obligación de satisfacer aquél recaiga sobre las entidades sin fines lucrativos y aquellas otras entidades recogidas en la Ley 49/2002, de 23 de diciembre, de régimen fiscal de las entidades sin fines lucrativos y de los incentivos fiscales al mecenazgo en los supuestos y con los requisitos que la citada ley y el Reglamento para la aplicación del régimen fiscal de las mencionadas entidades aprobado por Real Decreto 1270/2003, de 10 de octubre, establecen</w:t>
      </w:r>
    </w:p>
    <w:p w14:paraId="11E1A370"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d) Las entidades gestoras de la Seguridad Social y las mutualidades de previsión social reguladas en la Ley 30/1995, de 8 de noviembre, de ordenación y supervisión de los seguros privados.</w:t>
      </w:r>
    </w:p>
    <w:p w14:paraId="1847C5F9"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 xml:space="preserve">e) Los titulares de concesiones administrativas </w:t>
      </w:r>
      <w:proofErr w:type="spellStart"/>
      <w:r w:rsidRPr="005F0531">
        <w:rPr>
          <w:rFonts w:ascii="Rubik Light" w:hAnsi="Rubik Light" w:cs="Rubik Light"/>
          <w:sz w:val="22"/>
          <w:szCs w:val="22"/>
        </w:rPr>
        <w:t>revertibles</w:t>
      </w:r>
      <w:proofErr w:type="spellEnd"/>
      <w:r w:rsidRPr="005F0531">
        <w:rPr>
          <w:rFonts w:ascii="Rubik Light" w:hAnsi="Rubik Light" w:cs="Rubik Light"/>
          <w:sz w:val="22"/>
          <w:szCs w:val="22"/>
        </w:rPr>
        <w:t xml:space="preserve"> respecto a los terrenos afectos a éstas.</w:t>
      </w:r>
    </w:p>
    <w:p w14:paraId="1482A379"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f) La Cruz Roja Española.</w:t>
      </w:r>
    </w:p>
    <w:p w14:paraId="72C60D67" w14:textId="77777777" w:rsidR="00A525B1" w:rsidRPr="005F0531" w:rsidRDefault="00A525B1" w:rsidP="00AF63EC">
      <w:pPr>
        <w:pStyle w:val="parrafo"/>
        <w:jc w:val="both"/>
        <w:rPr>
          <w:rFonts w:ascii="Rubik Light" w:hAnsi="Rubik Light" w:cs="Rubik Light"/>
          <w:sz w:val="22"/>
          <w:szCs w:val="22"/>
        </w:rPr>
      </w:pPr>
      <w:r w:rsidRPr="005F0531">
        <w:rPr>
          <w:rFonts w:ascii="Rubik Light" w:hAnsi="Rubik Light" w:cs="Rubik Light"/>
          <w:sz w:val="22"/>
          <w:szCs w:val="22"/>
        </w:rPr>
        <w:t>g) Las personas o entidades a cuyo favor se haya reconocido la exención en tratados o convenios internacionales.</w:t>
      </w:r>
    </w:p>
    <w:p w14:paraId="32FD2E51" w14:textId="77777777" w:rsidR="00A525B1" w:rsidRPr="005F0531" w:rsidRDefault="00A525B1" w:rsidP="00AF63EC">
      <w:pPr>
        <w:rPr>
          <w:rFonts w:ascii="Rubik Light" w:hAnsi="Rubik Light" w:cs="Rubik Light"/>
          <w:color w:val="0000FF"/>
          <w:sz w:val="22"/>
          <w:szCs w:val="22"/>
        </w:rPr>
      </w:pPr>
    </w:p>
    <w:p w14:paraId="35E6A3AE"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CAPÍTULO IV SUJETOS PASIVOS</w:t>
      </w:r>
    </w:p>
    <w:p w14:paraId="6C222446" w14:textId="77777777" w:rsidR="00A525B1" w:rsidRPr="005F0531" w:rsidRDefault="00A525B1" w:rsidP="00A5062B">
      <w:pPr>
        <w:rPr>
          <w:rFonts w:ascii="Rubik Light" w:hAnsi="Rubik Light" w:cs="Rubik Light"/>
          <w:sz w:val="22"/>
          <w:szCs w:val="22"/>
        </w:rPr>
      </w:pPr>
    </w:p>
    <w:p w14:paraId="74D67801"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7. </w:t>
      </w:r>
    </w:p>
    <w:p w14:paraId="62C6B1D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1. Es sujeto pasivo del impuesto a título de contribuyente: </w:t>
      </w:r>
    </w:p>
    <w:p w14:paraId="7BA0E86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lastRenderedPageBreak/>
        <w:t xml:space="preserve">a) En las transmisiones de terrenos o en la constitución o transmisión de derechos reales de goce limitativos del dominio a título lucrativo, la persona física o jurídica, o la entidad a que se refiere el artículo 35.4 de la Ley 58/2003, de 17 de diciembre, General Tributaria, que adquiera el terreno o a cuyo favor se constituya o transmita el derecho real de que se trate. </w:t>
      </w:r>
    </w:p>
    <w:p w14:paraId="6700C82D"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b) En las transmisiones de terrenos o en la constitución o transmisión de derechos reales de goce limitativos del dominio a título oneroso, la persona física o jurídica, o la entidad a que se refiere el artículo 35.4 de la Ley 58/2003, de 17 de diciembre, General Tributaria, que transmita el terreno, o que constituya o transmita el derecho real de que se trate. </w:t>
      </w:r>
    </w:p>
    <w:p w14:paraId="240C63D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2. En los supuestos, a que se refiere la letra b) del apartado anterior, tendrá la consideración de sujeto pasivo sustituto del contribuyente, la persona física o jurídica, o la entidad a que se refiere el artículo 35.4 de la Ley General Tributaria, que adquiera el terreno o a cuyo favor se constituya o transmita el derecho real de que se trate, cuando el contribuyente sea una persona física no residente en España. </w:t>
      </w:r>
    </w:p>
    <w:p w14:paraId="0A5F858E" w14:textId="77777777" w:rsidR="00A525B1" w:rsidRPr="005F0531" w:rsidRDefault="00A525B1" w:rsidP="00A5062B">
      <w:pPr>
        <w:jc w:val="center"/>
        <w:rPr>
          <w:rFonts w:ascii="Rubik Light" w:hAnsi="Rubik Light" w:cs="Rubik Light"/>
          <w:b/>
          <w:sz w:val="22"/>
          <w:szCs w:val="22"/>
        </w:rPr>
      </w:pPr>
    </w:p>
    <w:p w14:paraId="0D934685"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CAPÍTULO V. BASE IMPONIBLE</w:t>
      </w:r>
    </w:p>
    <w:p w14:paraId="66051D0D"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Sección 1ª. Base imponible</w:t>
      </w:r>
    </w:p>
    <w:p w14:paraId="04515220" w14:textId="77777777" w:rsidR="002D5CB4" w:rsidRDefault="002D5CB4" w:rsidP="00A5062B">
      <w:pPr>
        <w:rPr>
          <w:rFonts w:ascii="Rubik Light" w:hAnsi="Rubik Light" w:cs="Rubik Light"/>
          <w:sz w:val="22"/>
          <w:szCs w:val="22"/>
        </w:rPr>
      </w:pPr>
    </w:p>
    <w:p w14:paraId="6FEB887B" w14:textId="233A07FE"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Artículo 8.</w:t>
      </w:r>
    </w:p>
    <w:p w14:paraId="39DFBE29"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1. La base imponible de este impuesto está constituida por el incremento del valor de los terrenos de naturaleza urbana puesto de manifiesto en el momento del devengo y experimentado a lo largo de un periodo máximo de veinte años.</w:t>
      </w:r>
    </w:p>
    <w:p w14:paraId="23D53C0F" w14:textId="3C6E2199"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2. Para determinar la base imponible, mediante el método de estimación objetiva, se aplicará sobre el valor catastral del terreno en el momento del devengo, el coeficiente que corresponda en función del número de años durante los cuales se hubiese generado dicho incremento.</w:t>
      </w:r>
    </w:p>
    <w:p w14:paraId="7D5EC374"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3. El valor de los terrenos en el momento del devengo resultará de lo establecido en las reglas recogidas en el art. 107.2 y 3 del TRLRHL. Para la aplicación concreta de este precepto, deberá tenerse presente:</w:t>
      </w:r>
    </w:p>
    <w:p w14:paraId="377D3167"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a) Que en las transmisiones de partes indivisas de terrenos o edificios, su valor será proporcional a la porción o cuota transmitida. </w:t>
      </w:r>
    </w:p>
    <w:p w14:paraId="58DD046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b) Que en las transmisiones de pisos o locales en régimen de propiedad horizontal, su valor será el específico del suelo que cada finca o local tuviere determinado en el Impuesto sobre Bienes Inmuebles, y si no lo tuviere todavía determinado su valor se estimará proporcional a la cuota de copropiedad que tengan atribuida en el valor del inmueble y sus elementos comunes.</w:t>
      </w:r>
    </w:p>
    <w:p w14:paraId="31FF926E" w14:textId="77777777" w:rsidR="00A525B1" w:rsidRPr="005F0531" w:rsidRDefault="00A525B1" w:rsidP="00A5062B">
      <w:pPr>
        <w:rPr>
          <w:rFonts w:ascii="Rubik Light" w:hAnsi="Rubik Light" w:cs="Rubik Light"/>
          <w:color w:val="0070C0"/>
          <w:sz w:val="22"/>
          <w:szCs w:val="22"/>
        </w:rPr>
      </w:pPr>
      <w:r w:rsidRPr="005F0531">
        <w:rPr>
          <w:rFonts w:ascii="Rubik Light" w:hAnsi="Rubik Light" w:cs="Rubik Light"/>
          <w:sz w:val="22"/>
          <w:szCs w:val="22"/>
        </w:rPr>
        <w:t xml:space="preserve"> c) Que, cuando dicho valor sea consecuencia de una Ponencia de valores que no refleje modificaciones de planeamiento aprobadas con posterioridad a la aprobación de la citada Ponencia, se podrá liquidar provisionalmente este impuesto con arreglo a aquél. En estos casos, en la liquidación definitiva se aplicará el valor de los terrenos una vez se haya obtenido conforme a los procedimientos de valoración colectiva que se instruyan, referido a la fecha del devengo. </w:t>
      </w:r>
      <w:r w:rsidRPr="005F0531">
        <w:rPr>
          <w:rFonts w:ascii="Rubik Light" w:hAnsi="Rubik Light" w:cs="Rubik Light"/>
          <w:color w:val="auto"/>
          <w:sz w:val="22"/>
          <w:szCs w:val="22"/>
        </w:rPr>
        <w:t xml:space="preserve">Cuando esta fecha no coincida con la de efectividad de los nuevos valores catastrales, estos se corregirán aplicando los </w:t>
      </w:r>
      <w:r w:rsidRPr="005F0531">
        <w:rPr>
          <w:rFonts w:ascii="Rubik Light" w:hAnsi="Rubik Light" w:cs="Rubik Light"/>
          <w:color w:val="auto"/>
          <w:sz w:val="22"/>
          <w:szCs w:val="22"/>
        </w:rPr>
        <w:lastRenderedPageBreak/>
        <w:t>coeficientes de actualización que correspondan, establecidos al efecto en las leyes de presupuestos generales del Estado.</w:t>
      </w:r>
    </w:p>
    <w:p w14:paraId="34A14EB8"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d) Que, cuando el terreno </w:t>
      </w:r>
      <w:proofErr w:type="spellStart"/>
      <w:r w:rsidRPr="005F0531">
        <w:rPr>
          <w:rFonts w:ascii="Rubik Light" w:hAnsi="Rubik Light" w:cs="Rubik Light"/>
          <w:sz w:val="22"/>
          <w:szCs w:val="22"/>
        </w:rPr>
        <w:t>aún</w:t>
      </w:r>
      <w:proofErr w:type="spellEnd"/>
      <w:r w:rsidRPr="005F0531">
        <w:rPr>
          <w:rFonts w:ascii="Rubik Light" w:hAnsi="Rubik Light" w:cs="Rubik Light"/>
          <w:sz w:val="22"/>
          <w:szCs w:val="22"/>
        </w:rPr>
        <w:t xml:space="preserve"> siendo de naturaleza urbana o integrado en un bien inmueble de características especiales en el momento del devengo del impuesto, no tenga determinado valor catastral en dicho momento, o, si lo tuviere, no concuerde con el de la finca realmente transmitida, a consecuencia de aquellas alteraciones de sus características no reflejadas en el Catastro o en el Padrón del Impuesto sobre Bienes Inmuebles, que deban conllevar la asignación de valor catastral conforme a las mismas, el Ayuntamiento podrá practicar la liquidación cuando el referido valor catastral sea determinado, refiriendo dicho valor al momento del devengo. </w:t>
      </w:r>
    </w:p>
    <w:p w14:paraId="2B55AAA2" w14:textId="1DAA48B3" w:rsidR="00A525B1" w:rsidRPr="005F0531" w:rsidRDefault="00A525B1" w:rsidP="00A5062B">
      <w:pPr>
        <w:rPr>
          <w:rFonts w:ascii="Rubik Light" w:hAnsi="Rubik Light" w:cs="Rubik Light"/>
          <w:color w:val="FF0000"/>
          <w:sz w:val="22"/>
          <w:szCs w:val="22"/>
        </w:rPr>
      </w:pPr>
      <w:r w:rsidRPr="005F0531">
        <w:rPr>
          <w:rFonts w:ascii="Rubik Light" w:hAnsi="Rubik Light" w:cs="Rubik Light"/>
          <w:sz w:val="22"/>
          <w:szCs w:val="22"/>
        </w:rPr>
        <w:t xml:space="preserve">e) Este Ayuntamiento acuerda la aplicación de un coeficiente reductor sobre el valor señalado en el artículo 107.2 a) que pondere su grado de actualización, con </w:t>
      </w:r>
      <w:r w:rsidRPr="005F0531">
        <w:rPr>
          <w:rFonts w:ascii="Rubik Light" w:hAnsi="Rubik Light" w:cs="Rubik Light"/>
          <w:color w:val="auto"/>
          <w:sz w:val="22"/>
          <w:szCs w:val="22"/>
        </w:rPr>
        <w:t xml:space="preserve">el </w:t>
      </w:r>
      <w:r w:rsidR="002D5CB4">
        <w:rPr>
          <w:rFonts w:ascii="Rubik Light" w:hAnsi="Rubik Light" w:cs="Rubik Light"/>
          <w:color w:val="auto"/>
          <w:sz w:val="22"/>
          <w:szCs w:val="22"/>
        </w:rPr>
        <w:t>______</w:t>
      </w:r>
      <w:r w:rsidRPr="005F0531">
        <w:rPr>
          <w:rFonts w:ascii="Rubik Light" w:hAnsi="Rubik Light" w:cs="Rubik Light"/>
          <w:color w:val="auto"/>
          <w:sz w:val="22"/>
          <w:szCs w:val="22"/>
        </w:rPr>
        <w:t xml:space="preserve"> % (máximo del 15 por ciento).  </w:t>
      </w:r>
    </w:p>
    <w:p w14:paraId="107FCEC3"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f) En los supuestos de expropiación forzosa, se tomará como valor la parte del justiprecio correspondiente al terreno, salvo que el valor definido en el apartado anterior fuese inferior, en cuyo caso prevalecerá este último sobre el justiprecio.  </w:t>
      </w:r>
    </w:p>
    <w:p w14:paraId="122BD46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4. A los efectos del art. 107.3 del TRLRHL, para los casos en que se modifiquen los valores catastrales como consecuencia de un procedimiento de valoración colectiva de carácter general, durante los cinco primeros años de efectividad de los nuevos valores catastrales resultantes de la Ponencia de Valores aprobada, se tomará como valor del terreno el importe que resulte de aplicar a los nuevos valores catastrales la reducción que se especifica a continuación.</w:t>
      </w:r>
    </w:p>
    <w:p w14:paraId="367F2FEE" w14:textId="56605A8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La reducción será </w:t>
      </w:r>
      <w:r w:rsidRPr="005F0531">
        <w:rPr>
          <w:rFonts w:ascii="Rubik Light" w:hAnsi="Rubik Light" w:cs="Rubik Light"/>
          <w:color w:val="auto"/>
          <w:sz w:val="22"/>
          <w:szCs w:val="22"/>
        </w:rPr>
        <w:t>de</w:t>
      </w:r>
      <w:r w:rsidR="002D5CB4">
        <w:rPr>
          <w:rFonts w:ascii="Rubik Light" w:hAnsi="Rubik Light" w:cs="Rubik Light"/>
          <w:color w:val="auto"/>
          <w:sz w:val="22"/>
          <w:szCs w:val="22"/>
        </w:rPr>
        <w:t xml:space="preserve"> ___________</w:t>
      </w:r>
      <w:r w:rsidRPr="005F0531">
        <w:rPr>
          <w:rFonts w:ascii="Rubik Light" w:hAnsi="Rubik Light" w:cs="Rubik Light"/>
          <w:color w:val="auto"/>
          <w:sz w:val="22"/>
          <w:szCs w:val="22"/>
        </w:rPr>
        <w:t xml:space="preserve"> (límite máximo del 60% si no se fija límite será del 60%, también se podrá fijar un tipo reducido por cada uno de los cinco años de aplicación de la reducción dentro de tales límites.)</w:t>
      </w:r>
    </w:p>
    <w:p w14:paraId="485E9B1F"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La reducción prevista no </w:t>
      </w:r>
      <w:proofErr w:type="gramStart"/>
      <w:r w:rsidRPr="005F0531">
        <w:rPr>
          <w:rFonts w:ascii="Rubik Light" w:hAnsi="Rubik Light" w:cs="Rubik Light"/>
          <w:sz w:val="22"/>
          <w:szCs w:val="22"/>
        </w:rPr>
        <w:t>será de aplicación</w:t>
      </w:r>
      <w:proofErr w:type="gramEnd"/>
      <w:r w:rsidRPr="005F0531">
        <w:rPr>
          <w:rFonts w:ascii="Rubik Light" w:hAnsi="Rubik Light" w:cs="Rubik Light"/>
          <w:sz w:val="22"/>
          <w:szCs w:val="22"/>
        </w:rPr>
        <w:t xml:space="preserve"> a los supuestos en los que los valores catastrales resultantes del procedimiento de valoración colectiva a que aquél se refiere sean inferiores a los hasta entonces vigentes.</w:t>
      </w:r>
    </w:p>
    <w:p w14:paraId="7071D00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El valor catastral reducido en ningún caso podrá ser inferior al valor catastral del terreno antes del procedimiento de valoración colectiva.</w:t>
      </w:r>
    </w:p>
    <w:p w14:paraId="594749C1"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5. El coeficiente a aplicar sobre el valor del terreno en el momento del devengo, calculado conforme a lo dispuesto en el artículo 107 TRLRHL y los apartados anteriores, será:</w:t>
      </w:r>
    </w:p>
    <w:p w14:paraId="1EE55273" w14:textId="77777777" w:rsidR="00A525B1" w:rsidRPr="005F0531" w:rsidRDefault="00A525B1" w:rsidP="00A5062B">
      <w:pPr>
        <w:rPr>
          <w:rFonts w:ascii="Rubik Light" w:hAnsi="Rubik Light" w:cs="Rubik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2490"/>
      </w:tblGrid>
      <w:tr w:rsidR="00A525B1" w:rsidRPr="005F0531" w14:paraId="1421A6A5" w14:textId="77777777" w:rsidTr="008151CE">
        <w:trPr>
          <w:jc w:val="center"/>
        </w:trPr>
        <w:tc>
          <w:tcPr>
            <w:tcW w:w="2837" w:type="dxa"/>
          </w:tcPr>
          <w:p w14:paraId="5E98B761" w14:textId="77777777" w:rsidR="00A525B1" w:rsidRPr="005F0531" w:rsidRDefault="00A525B1" w:rsidP="008151CE">
            <w:pPr>
              <w:rPr>
                <w:rFonts w:ascii="Rubik Light" w:hAnsi="Rubik Light" w:cs="Rubik Light"/>
                <w:b/>
                <w:bCs/>
                <w:sz w:val="22"/>
                <w:szCs w:val="22"/>
              </w:rPr>
            </w:pPr>
            <w:r w:rsidRPr="005F0531">
              <w:rPr>
                <w:rFonts w:ascii="Rubik Light" w:hAnsi="Rubik Light" w:cs="Rubik Light"/>
                <w:b/>
                <w:bCs/>
                <w:sz w:val="22"/>
                <w:szCs w:val="22"/>
              </w:rPr>
              <w:t>Periodo de generación</w:t>
            </w:r>
          </w:p>
        </w:tc>
        <w:tc>
          <w:tcPr>
            <w:tcW w:w="2490" w:type="dxa"/>
          </w:tcPr>
          <w:p w14:paraId="23BFE785" w14:textId="77777777" w:rsidR="00A525B1" w:rsidRPr="005F0531" w:rsidRDefault="00A525B1" w:rsidP="008151CE">
            <w:pPr>
              <w:rPr>
                <w:rFonts w:ascii="Rubik Light" w:hAnsi="Rubik Light" w:cs="Rubik Light"/>
                <w:b/>
                <w:bCs/>
                <w:sz w:val="22"/>
                <w:szCs w:val="22"/>
              </w:rPr>
            </w:pPr>
            <w:r w:rsidRPr="005F0531">
              <w:rPr>
                <w:rFonts w:ascii="Rubik Light" w:hAnsi="Rubik Light" w:cs="Rubik Light"/>
                <w:b/>
                <w:bCs/>
                <w:sz w:val="22"/>
                <w:szCs w:val="22"/>
              </w:rPr>
              <w:t>Coeficiente</w:t>
            </w:r>
          </w:p>
        </w:tc>
      </w:tr>
      <w:tr w:rsidR="00812882" w:rsidRPr="005F0531" w14:paraId="71FCA984" w14:textId="77777777" w:rsidTr="008151CE">
        <w:trPr>
          <w:jc w:val="center"/>
        </w:trPr>
        <w:tc>
          <w:tcPr>
            <w:tcW w:w="2837" w:type="dxa"/>
          </w:tcPr>
          <w:p w14:paraId="6A02CCCC" w14:textId="77777777" w:rsidR="00A525B1" w:rsidRPr="005F0531" w:rsidRDefault="00A525B1" w:rsidP="008151CE">
            <w:pPr>
              <w:rPr>
                <w:rFonts w:ascii="Rubik Light" w:hAnsi="Rubik Light" w:cs="Rubik Light"/>
                <w:b/>
                <w:bCs/>
                <w:sz w:val="22"/>
                <w:szCs w:val="22"/>
              </w:rPr>
            </w:pPr>
            <w:r w:rsidRPr="005F0531">
              <w:rPr>
                <w:rFonts w:ascii="Rubik Light" w:hAnsi="Rubik Light" w:cs="Rubik Light"/>
                <w:sz w:val="22"/>
                <w:szCs w:val="22"/>
              </w:rPr>
              <w:t xml:space="preserve">Inferior a 1 año. </w:t>
            </w:r>
          </w:p>
        </w:tc>
        <w:tc>
          <w:tcPr>
            <w:tcW w:w="2490" w:type="dxa"/>
          </w:tcPr>
          <w:p w14:paraId="0877AB8B"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0,14)</w:t>
            </w:r>
          </w:p>
        </w:tc>
      </w:tr>
      <w:tr w:rsidR="00812882" w:rsidRPr="005F0531" w14:paraId="2DECAD5C" w14:textId="77777777" w:rsidTr="008151CE">
        <w:trPr>
          <w:jc w:val="center"/>
        </w:trPr>
        <w:tc>
          <w:tcPr>
            <w:tcW w:w="2837" w:type="dxa"/>
          </w:tcPr>
          <w:p w14:paraId="05002BBC"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 año. </w:t>
            </w:r>
          </w:p>
        </w:tc>
        <w:tc>
          <w:tcPr>
            <w:tcW w:w="2490" w:type="dxa"/>
          </w:tcPr>
          <w:p w14:paraId="729A8BA8"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0,13)</w:t>
            </w:r>
          </w:p>
        </w:tc>
      </w:tr>
      <w:tr w:rsidR="00812882" w:rsidRPr="005F0531" w14:paraId="75D4FFBE" w14:textId="77777777" w:rsidTr="008151CE">
        <w:trPr>
          <w:jc w:val="center"/>
        </w:trPr>
        <w:tc>
          <w:tcPr>
            <w:tcW w:w="2837" w:type="dxa"/>
          </w:tcPr>
          <w:p w14:paraId="6BC369AD"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2 años. </w:t>
            </w:r>
          </w:p>
        </w:tc>
        <w:tc>
          <w:tcPr>
            <w:tcW w:w="2490" w:type="dxa"/>
          </w:tcPr>
          <w:p w14:paraId="42BA0816"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0,15)</w:t>
            </w:r>
          </w:p>
        </w:tc>
      </w:tr>
      <w:tr w:rsidR="00812882" w:rsidRPr="005F0531" w14:paraId="0CAEC263" w14:textId="77777777" w:rsidTr="008151CE">
        <w:trPr>
          <w:jc w:val="center"/>
        </w:trPr>
        <w:tc>
          <w:tcPr>
            <w:tcW w:w="2837" w:type="dxa"/>
          </w:tcPr>
          <w:p w14:paraId="07640E5E"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3 años. </w:t>
            </w:r>
          </w:p>
        </w:tc>
        <w:tc>
          <w:tcPr>
            <w:tcW w:w="2490" w:type="dxa"/>
          </w:tcPr>
          <w:p w14:paraId="2487E6D2"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0,16)</w:t>
            </w:r>
          </w:p>
        </w:tc>
      </w:tr>
      <w:tr w:rsidR="00812882" w:rsidRPr="005F0531" w14:paraId="5E8C03BF" w14:textId="77777777" w:rsidTr="008151CE">
        <w:trPr>
          <w:jc w:val="center"/>
        </w:trPr>
        <w:tc>
          <w:tcPr>
            <w:tcW w:w="2837" w:type="dxa"/>
          </w:tcPr>
          <w:p w14:paraId="2763F70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4 años. </w:t>
            </w:r>
          </w:p>
        </w:tc>
        <w:tc>
          <w:tcPr>
            <w:tcW w:w="2490" w:type="dxa"/>
          </w:tcPr>
          <w:p w14:paraId="4107AD3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0,17)</w:t>
            </w:r>
          </w:p>
        </w:tc>
      </w:tr>
      <w:tr w:rsidR="00812882" w:rsidRPr="005F0531" w14:paraId="5CF8BE26" w14:textId="77777777" w:rsidTr="008151CE">
        <w:trPr>
          <w:jc w:val="center"/>
        </w:trPr>
        <w:tc>
          <w:tcPr>
            <w:tcW w:w="2837" w:type="dxa"/>
          </w:tcPr>
          <w:p w14:paraId="3C789326"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5 años. </w:t>
            </w:r>
          </w:p>
        </w:tc>
        <w:tc>
          <w:tcPr>
            <w:tcW w:w="2490" w:type="dxa"/>
          </w:tcPr>
          <w:p w14:paraId="78B1EDB2"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0,17)</w:t>
            </w:r>
          </w:p>
        </w:tc>
      </w:tr>
      <w:tr w:rsidR="00812882" w:rsidRPr="005F0531" w14:paraId="2BE4440D" w14:textId="77777777" w:rsidTr="008151CE">
        <w:trPr>
          <w:jc w:val="center"/>
        </w:trPr>
        <w:tc>
          <w:tcPr>
            <w:tcW w:w="2837" w:type="dxa"/>
          </w:tcPr>
          <w:p w14:paraId="4DA394A4"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lastRenderedPageBreak/>
              <w:t xml:space="preserve">6 años. </w:t>
            </w:r>
          </w:p>
        </w:tc>
        <w:tc>
          <w:tcPr>
            <w:tcW w:w="2490" w:type="dxa"/>
          </w:tcPr>
          <w:p w14:paraId="178A337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0,16)</w:t>
            </w:r>
          </w:p>
        </w:tc>
      </w:tr>
      <w:tr w:rsidR="00812882" w:rsidRPr="005F0531" w14:paraId="0FDF6B18" w14:textId="77777777" w:rsidTr="008151CE">
        <w:trPr>
          <w:jc w:val="center"/>
        </w:trPr>
        <w:tc>
          <w:tcPr>
            <w:tcW w:w="2837" w:type="dxa"/>
          </w:tcPr>
          <w:p w14:paraId="6F1383EE"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7 años. </w:t>
            </w:r>
          </w:p>
        </w:tc>
        <w:tc>
          <w:tcPr>
            <w:tcW w:w="2490" w:type="dxa"/>
          </w:tcPr>
          <w:p w14:paraId="5AB9402A"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0,12)</w:t>
            </w:r>
          </w:p>
        </w:tc>
      </w:tr>
      <w:tr w:rsidR="00812882" w:rsidRPr="005F0531" w14:paraId="33F9CD50" w14:textId="77777777" w:rsidTr="008151CE">
        <w:trPr>
          <w:jc w:val="center"/>
        </w:trPr>
        <w:tc>
          <w:tcPr>
            <w:tcW w:w="2837" w:type="dxa"/>
          </w:tcPr>
          <w:p w14:paraId="091C3769"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8 años. </w:t>
            </w:r>
          </w:p>
        </w:tc>
        <w:tc>
          <w:tcPr>
            <w:tcW w:w="2490" w:type="dxa"/>
          </w:tcPr>
          <w:p w14:paraId="1A8679C2"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0,10)</w:t>
            </w:r>
          </w:p>
        </w:tc>
      </w:tr>
      <w:tr w:rsidR="00812882" w:rsidRPr="005F0531" w14:paraId="2341440C" w14:textId="77777777" w:rsidTr="008151CE">
        <w:trPr>
          <w:jc w:val="center"/>
        </w:trPr>
        <w:tc>
          <w:tcPr>
            <w:tcW w:w="2837" w:type="dxa"/>
          </w:tcPr>
          <w:p w14:paraId="114634A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9 años. </w:t>
            </w:r>
          </w:p>
        </w:tc>
        <w:tc>
          <w:tcPr>
            <w:tcW w:w="2490" w:type="dxa"/>
          </w:tcPr>
          <w:p w14:paraId="4D5DD1AA"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0,09)</w:t>
            </w:r>
          </w:p>
        </w:tc>
      </w:tr>
      <w:tr w:rsidR="00812882" w:rsidRPr="005F0531" w14:paraId="02BC6FEB" w14:textId="77777777" w:rsidTr="008151CE">
        <w:trPr>
          <w:jc w:val="center"/>
        </w:trPr>
        <w:tc>
          <w:tcPr>
            <w:tcW w:w="2837" w:type="dxa"/>
          </w:tcPr>
          <w:p w14:paraId="19DC394F"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10 años. </w:t>
            </w:r>
          </w:p>
        </w:tc>
        <w:tc>
          <w:tcPr>
            <w:tcW w:w="2490" w:type="dxa"/>
          </w:tcPr>
          <w:p w14:paraId="308F40F9"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0,08)</w:t>
            </w:r>
          </w:p>
        </w:tc>
      </w:tr>
      <w:tr w:rsidR="00812882" w:rsidRPr="005F0531" w14:paraId="3AE6454C" w14:textId="77777777" w:rsidTr="008151CE">
        <w:trPr>
          <w:jc w:val="center"/>
        </w:trPr>
        <w:tc>
          <w:tcPr>
            <w:tcW w:w="2837" w:type="dxa"/>
          </w:tcPr>
          <w:p w14:paraId="121E4D96"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11 años. </w:t>
            </w:r>
          </w:p>
        </w:tc>
        <w:tc>
          <w:tcPr>
            <w:tcW w:w="2490" w:type="dxa"/>
          </w:tcPr>
          <w:p w14:paraId="2F932459"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0,08)</w:t>
            </w:r>
          </w:p>
        </w:tc>
      </w:tr>
      <w:tr w:rsidR="00812882" w:rsidRPr="005F0531" w14:paraId="53ABA380" w14:textId="77777777" w:rsidTr="008151CE">
        <w:trPr>
          <w:jc w:val="center"/>
        </w:trPr>
        <w:tc>
          <w:tcPr>
            <w:tcW w:w="2837" w:type="dxa"/>
          </w:tcPr>
          <w:p w14:paraId="2EFD3BB8"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12 años. </w:t>
            </w:r>
          </w:p>
        </w:tc>
        <w:tc>
          <w:tcPr>
            <w:tcW w:w="2490" w:type="dxa"/>
          </w:tcPr>
          <w:p w14:paraId="43E8C3C8"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0,08)</w:t>
            </w:r>
          </w:p>
        </w:tc>
      </w:tr>
      <w:tr w:rsidR="00812882" w:rsidRPr="005F0531" w14:paraId="34C6B2EF" w14:textId="77777777" w:rsidTr="008151CE">
        <w:trPr>
          <w:jc w:val="center"/>
        </w:trPr>
        <w:tc>
          <w:tcPr>
            <w:tcW w:w="2837" w:type="dxa"/>
          </w:tcPr>
          <w:p w14:paraId="7AAC4927"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13 años. </w:t>
            </w:r>
          </w:p>
        </w:tc>
        <w:tc>
          <w:tcPr>
            <w:tcW w:w="2490" w:type="dxa"/>
          </w:tcPr>
          <w:p w14:paraId="3E7F4D56"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0,08)</w:t>
            </w:r>
          </w:p>
        </w:tc>
      </w:tr>
      <w:tr w:rsidR="00812882" w:rsidRPr="005F0531" w14:paraId="2119097F" w14:textId="77777777" w:rsidTr="008151CE">
        <w:trPr>
          <w:jc w:val="center"/>
        </w:trPr>
        <w:tc>
          <w:tcPr>
            <w:tcW w:w="2837" w:type="dxa"/>
          </w:tcPr>
          <w:p w14:paraId="45CB5ABB"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14 años. </w:t>
            </w:r>
          </w:p>
        </w:tc>
        <w:tc>
          <w:tcPr>
            <w:tcW w:w="2490" w:type="dxa"/>
          </w:tcPr>
          <w:p w14:paraId="2564A4F5"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0,10)</w:t>
            </w:r>
          </w:p>
        </w:tc>
      </w:tr>
      <w:tr w:rsidR="00812882" w:rsidRPr="005F0531" w14:paraId="6AAD59CF" w14:textId="77777777" w:rsidTr="008151CE">
        <w:trPr>
          <w:jc w:val="center"/>
        </w:trPr>
        <w:tc>
          <w:tcPr>
            <w:tcW w:w="2837" w:type="dxa"/>
          </w:tcPr>
          <w:p w14:paraId="588E1358"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15 años. </w:t>
            </w:r>
          </w:p>
        </w:tc>
        <w:tc>
          <w:tcPr>
            <w:tcW w:w="2490" w:type="dxa"/>
          </w:tcPr>
          <w:p w14:paraId="5D88F860"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0,12)</w:t>
            </w:r>
          </w:p>
        </w:tc>
      </w:tr>
      <w:tr w:rsidR="00812882" w:rsidRPr="005F0531" w14:paraId="1CD928F7" w14:textId="77777777" w:rsidTr="008151CE">
        <w:trPr>
          <w:jc w:val="center"/>
        </w:trPr>
        <w:tc>
          <w:tcPr>
            <w:tcW w:w="2837" w:type="dxa"/>
          </w:tcPr>
          <w:p w14:paraId="175B395C"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16 años. </w:t>
            </w:r>
          </w:p>
        </w:tc>
        <w:tc>
          <w:tcPr>
            <w:tcW w:w="2490" w:type="dxa"/>
          </w:tcPr>
          <w:p w14:paraId="21B44C20"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0,16)</w:t>
            </w:r>
          </w:p>
        </w:tc>
      </w:tr>
      <w:tr w:rsidR="00812882" w:rsidRPr="005F0531" w14:paraId="742B089E" w14:textId="77777777" w:rsidTr="008151CE">
        <w:trPr>
          <w:jc w:val="center"/>
        </w:trPr>
        <w:tc>
          <w:tcPr>
            <w:tcW w:w="2837" w:type="dxa"/>
          </w:tcPr>
          <w:p w14:paraId="52054E3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17 años. </w:t>
            </w:r>
          </w:p>
        </w:tc>
        <w:tc>
          <w:tcPr>
            <w:tcW w:w="2490" w:type="dxa"/>
          </w:tcPr>
          <w:p w14:paraId="30958C10"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0,20)</w:t>
            </w:r>
          </w:p>
        </w:tc>
      </w:tr>
      <w:tr w:rsidR="00812882" w:rsidRPr="005F0531" w14:paraId="218CAA5D" w14:textId="77777777" w:rsidTr="008151CE">
        <w:trPr>
          <w:jc w:val="center"/>
        </w:trPr>
        <w:tc>
          <w:tcPr>
            <w:tcW w:w="2837" w:type="dxa"/>
          </w:tcPr>
          <w:p w14:paraId="31F68831"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18 años. </w:t>
            </w:r>
          </w:p>
        </w:tc>
        <w:tc>
          <w:tcPr>
            <w:tcW w:w="2490" w:type="dxa"/>
          </w:tcPr>
          <w:p w14:paraId="59D37DC4"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0,26)</w:t>
            </w:r>
          </w:p>
        </w:tc>
      </w:tr>
      <w:tr w:rsidR="00812882" w:rsidRPr="005F0531" w14:paraId="5DACC452" w14:textId="77777777" w:rsidTr="008151CE">
        <w:trPr>
          <w:jc w:val="center"/>
        </w:trPr>
        <w:tc>
          <w:tcPr>
            <w:tcW w:w="2837" w:type="dxa"/>
          </w:tcPr>
          <w:p w14:paraId="2C706350"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19 años. </w:t>
            </w:r>
          </w:p>
        </w:tc>
        <w:tc>
          <w:tcPr>
            <w:tcW w:w="2490" w:type="dxa"/>
          </w:tcPr>
          <w:p w14:paraId="6E9ED05F"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0,36)</w:t>
            </w:r>
          </w:p>
        </w:tc>
      </w:tr>
      <w:tr w:rsidR="00812882" w:rsidRPr="005F0531" w14:paraId="7634865A" w14:textId="77777777" w:rsidTr="008151CE">
        <w:trPr>
          <w:jc w:val="center"/>
        </w:trPr>
        <w:tc>
          <w:tcPr>
            <w:tcW w:w="2837" w:type="dxa"/>
          </w:tcPr>
          <w:p w14:paraId="47F468B6"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sz w:val="22"/>
                <w:szCs w:val="22"/>
              </w:rPr>
              <w:t xml:space="preserve">Igual o superior a 20 años. </w:t>
            </w:r>
          </w:p>
        </w:tc>
        <w:tc>
          <w:tcPr>
            <w:tcW w:w="2490" w:type="dxa"/>
          </w:tcPr>
          <w:p w14:paraId="0661EFAD" w14:textId="77777777" w:rsidR="00A525B1" w:rsidRPr="005F0531" w:rsidRDefault="00A525B1" w:rsidP="008151CE">
            <w:pPr>
              <w:rPr>
                <w:rFonts w:ascii="Rubik Light" w:hAnsi="Rubik Light" w:cs="Rubik Light"/>
                <w:b/>
                <w:bCs/>
                <w:color w:val="auto"/>
                <w:sz w:val="22"/>
                <w:szCs w:val="22"/>
              </w:rPr>
            </w:pPr>
            <w:r w:rsidRPr="005F0531">
              <w:rPr>
                <w:rFonts w:ascii="Rubik Light" w:hAnsi="Rubik Light" w:cs="Rubik Light"/>
                <w:color w:val="auto"/>
                <w:sz w:val="22"/>
                <w:szCs w:val="22"/>
              </w:rPr>
              <w:t>X (Máximo 0,45)</w:t>
            </w:r>
          </w:p>
        </w:tc>
      </w:tr>
    </w:tbl>
    <w:p w14:paraId="581327F9" w14:textId="77777777" w:rsidR="00A525B1" w:rsidRPr="005F0531" w:rsidRDefault="00A525B1" w:rsidP="00A5062B">
      <w:pPr>
        <w:rPr>
          <w:rFonts w:ascii="Rubik Light" w:hAnsi="Rubik Light" w:cs="Rubik Light"/>
          <w:color w:val="auto"/>
          <w:sz w:val="22"/>
          <w:szCs w:val="22"/>
        </w:rPr>
      </w:pPr>
    </w:p>
    <w:p w14:paraId="566CE7B9"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Estos coeficientes máximos serán actualizados anualmente mediante norma con rango legal, pudiendo llevarse a cabo dicha actualización mediante las leyes de presupuestos generales del Estado. </w:t>
      </w:r>
    </w:p>
    <w:p w14:paraId="2B028A56"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Si, como consecuencia de esta actualización, alguno de los coeficientes aprobados por la vigente ordenanza fiscal resultara ser superior al correspondiente nuevo máximo legal, se aplicará este directamente hasta que entre en vigor la modificación de ordenanza fiscal para corregir dicho exceso.</w:t>
      </w:r>
    </w:p>
    <w:p w14:paraId="1B81CED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6. Para determinar el número de años a lo largo de los cuales se ha puesto de manifiesto el incremento de valor, sólo se considerarán los años completos que integren dicho período, sin que a tales efectos puedan considerarse las fracciones de año de dicho período. </w:t>
      </w:r>
    </w:p>
    <w:p w14:paraId="5DE8365D"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el caso de que el periodo de generación sea inferior a un año, se prorrateará el coeficiente anual teniendo en cuenta el número de meses completos, es decir, sin tener en cuenta las fracciones de mes.</w:t>
      </w:r>
    </w:p>
    <w:p w14:paraId="307A7317"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7.- Cuando, a instancia del sujeto pasivo, conforme al procedimiento establecido en el artículo 104.5 del TRLRHL, se constate que el importe del incremento de valor es inferior al importe de la base imponible determinada con arreglo a lo dispuesto en el artículo 107 del TRLRHL, se tomará como base imponible el importe de dicho incremento de valor, de modo que se aplique la fórmula de cálculo más beneficiosa para el contribuyente.</w:t>
      </w:r>
    </w:p>
    <w:p w14:paraId="649E0302" w14:textId="77777777" w:rsidR="00A525B1" w:rsidRPr="005F0531" w:rsidRDefault="00A525B1" w:rsidP="00A5062B">
      <w:pPr>
        <w:rPr>
          <w:rFonts w:ascii="Rubik Light" w:hAnsi="Rubik Light" w:cs="Rubik Light"/>
          <w:sz w:val="22"/>
          <w:szCs w:val="22"/>
        </w:rPr>
      </w:pPr>
    </w:p>
    <w:p w14:paraId="1CE652C6"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lastRenderedPageBreak/>
        <w:t xml:space="preserve">Artículo 9. </w:t>
      </w:r>
    </w:p>
    <w:p w14:paraId="4B0230C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Cuando el terreno hubiere sido adquirido por el transmitente por cuotas o porciones en fechas diferentes, se considerarán tantas bases imponibles como fechas de adquisición estableciéndose cada base en la siguiente forma: </w:t>
      </w:r>
    </w:p>
    <w:p w14:paraId="2E14FFC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 Se distribuirá el valor del terreno proporcionalmente a la porción o cuota adquirida en cada fecha. </w:t>
      </w:r>
    </w:p>
    <w:p w14:paraId="76A560D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b) A cada parte proporcional, se aplicará el coeficiente correspondiente al período respectivo de generación del incremento de valor. </w:t>
      </w:r>
    </w:p>
    <w:p w14:paraId="417FFE81" w14:textId="3AF15825" w:rsidR="00A525B1" w:rsidRPr="005F0531" w:rsidRDefault="00A525B1" w:rsidP="00A5062B">
      <w:pPr>
        <w:rPr>
          <w:rFonts w:ascii="Rubik Light" w:hAnsi="Rubik Light" w:cs="Rubik Light"/>
          <w:b/>
          <w:bCs/>
          <w:color w:val="FF0000"/>
          <w:sz w:val="22"/>
          <w:szCs w:val="22"/>
        </w:rPr>
      </w:pPr>
      <w:r w:rsidRPr="005F0531">
        <w:rPr>
          <w:rFonts w:ascii="Rubik Light" w:hAnsi="Rubik Light" w:cs="Rubik Light"/>
          <w:sz w:val="22"/>
          <w:szCs w:val="22"/>
        </w:rPr>
        <w:t xml:space="preserve">En el caso de que el contribuyente opte por la fórmula de cálculo por estimación directa, cuando el terreno hubiere sido adquirido por el transmitente por cuotas o porciones en fechas diferentes, el cálculo del incremento de valor se realizará de forma global, determinándose la diferencia entre el valor de transmisión del inmueble y el valor de adquisición </w:t>
      </w:r>
      <w:proofErr w:type="gramStart"/>
      <w:r w:rsidRPr="005F0531">
        <w:rPr>
          <w:rFonts w:ascii="Rubik Light" w:hAnsi="Rubik Light" w:cs="Rubik Light"/>
          <w:sz w:val="22"/>
          <w:szCs w:val="22"/>
        </w:rPr>
        <w:t>del mismo</w:t>
      </w:r>
      <w:proofErr w:type="gramEnd"/>
      <w:r w:rsidRPr="005F0531">
        <w:rPr>
          <w:rFonts w:ascii="Rubik Light" w:hAnsi="Rubik Light" w:cs="Rubik Light"/>
          <w:sz w:val="22"/>
          <w:szCs w:val="22"/>
        </w:rPr>
        <w:t>, por la suma de los distintos valores de adquisición parciales. Siendo este resultado la cantidad global que habrá que comparar con el sumatorio de la</w:t>
      </w:r>
      <w:r w:rsidR="00812882" w:rsidRPr="005F0531">
        <w:rPr>
          <w:rFonts w:ascii="Rubik Light" w:hAnsi="Rubik Light" w:cs="Rubik Light"/>
          <w:sz w:val="22"/>
          <w:szCs w:val="22"/>
        </w:rPr>
        <w:t>s</w:t>
      </w:r>
      <w:r w:rsidRPr="005F0531">
        <w:rPr>
          <w:rFonts w:ascii="Rubik Light" w:hAnsi="Rubik Light" w:cs="Rubik Light"/>
          <w:sz w:val="22"/>
          <w:szCs w:val="22"/>
        </w:rPr>
        <w:t xml:space="preserve"> bases imponibles previamente calculadas por la fórmula de cálculo objetiva, a los efectos de la aplicación de la fórmula más beneficiosa conforme el artículo 107.5 del TRLRHL.</w:t>
      </w:r>
    </w:p>
    <w:p w14:paraId="7AFE49DB" w14:textId="77777777" w:rsidR="002D5CB4" w:rsidRDefault="002D5CB4" w:rsidP="00A5062B">
      <w:pPr>
        <w:rPr>
          <w:rFonts w:ascii="Rubik Light" w:hAnsi="Rubik Light" w:cs="Rubik Light"/>
          <w:sz w:val="22"/>
          <w:szCs w:val="22"/>
        </w:rPr>
      </w:pPr>
    </w:p>
    <w:p w14:paraId="665366EA" w14:textId="497DD26C"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10. </w:t>
      </w:r>
    </w:p>
    <w:p w14:paraId="28A006D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En la constitución o transmisión de derechos reales de goce limitativos del dominio, su valor vendrá determinado, a su vez, por aplicación, sobre el valor definido en el artículo 8, de un porcentaje estimado según las reglas siguientes: </w:t>
      </w:r>
    </w:p>
    <w:p w14:paraId="1E33F653"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El usufructo temporal, a razón del 2 por 100 por cada período de un año, sin exceder del 70 por 100. </w:t>
      </w:r>
    </w:p>
    <w:p w14:paraId="4A7D7DCE" w14:textId="77777777" w:rsidR="00A525B1" w:rsidRPr="005F0531" w:rsidRDefault="00A525B1" w:rsidP="00A5062B">
      <w:pPr>
        <w:rPr>
          <w:rFonts w:ascii="Rubik Light" w:hAnsi="Rubik Light" w:cs="Rubik Light"/>
          <w:sz w:val="22"/>
          <w:szCs w:val="22"/>
        </w:rPr>
      </w:pPr>
    </w:p>
    <w:p w14:paraId="4B5035C1"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Los usufructos vitalicios, al 70 por 100 cuando el usufructuario cuente menos de veinte años, minorando, a medida que aumente la edad, en la proporción de un 1 por 100 menos por cada año más con el límite mínimo del 10 por 100. </w:t>
      </w:r>
    </w:p>
    <w:p w14:paraId="5F2B18DC" w14:textId="77777777" w:rsidR="00A525B1" w:rsidRPr="005F0531" w:rsidRDefault="00A525B1" w:rsidP="00A5062B">
      <w:pPr>
        <w:rPr>
          <w:rFonts w:ascii="Rubik Light" w:hAnsi="Rubik Light" w:cs="Rubik Light"/>
          <w:sz w:val="22"/>
          <w:szCs w:val="22"/>
        </w:rPr>
      </w:pPr>
    </w:p>
    <w:p w14:paraId="13659168"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El usufructo constituido a favor de una persona jurídica, si se estableciera por plazo superior a 30 años o por tiempo indeterminado, se considerará fiscalmente como transmisión de plena propiedad sujeta a condición resolutoria, estimándose, por tanto, su valor igual al 100 por 100 del valor del terreno. </w:t>
      </w:r>
    </w:p>
    <w:p w14:paraId="3A880252" w14:textId="77777777" w:rsidR="00A525B1" w:rsidRPr="005F0531" w:rsidRDefault="00A525B1" w:rsidP="00A5062B">
      <w:pPr>
        <w:rPr>
          <w:rFonts w:ascii="Rubik Light" w:hAnsi="Rubik Light" w:cs="Rubik Light"/>
          <w:sz w:val="22"/>
          <w:szCs w:val="22"/>
        </w:rPr>
      </w:pPr>
    </w:p>
    <w:p w14:paraId="0ECDDED5"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En la transmisión de un derecho de usufructo constituido con anterioridad se aplicará el mismo porcentaje que se atribuyó en la fecha de su constitución según las reglas precedentes.</w:t>
      </w:r>
    </w:p>
    <w:p w14:paraId="0AEA3918" w14:textId="77777777" w:rsidR="00A525B1" w:rsidRPr="005F0531" w:rsidRDefault="00A525B1" w:rsidP="00A5062B">
      <w:pPr>
        <w:rPr>
          <w:rFonts w:ascii="Rubik Light" w:hAnsi="Rubik Light" w:cs="Rubik Light"/>
          <w:sz w:val="22"/>
          <w:szCs w:val="22"/>
        </w:rPr>
      </w:pPr>
    </w:p>
    <w:p w14:paraId="569D0B89"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En caso de que se produzca la transmisión del derecho de usufructo o de la nuda propiedad del inmueble, se deberá calcular el valor del derecho transmitido teniendo en cuenta la edad de la persona usufructuaria en el momento de la transmisión. </w:t>
      </w:r>
    </w:p>
    <w:p w14:paraId="61D05AFD" w14:textId="77777777" w:rsidR="00A525B1" w:rsidRPr="005F0531" w:rsidRDefault="00A525B1" w:rsidP="00A5062B">
      <w:pPr>
        <w:rPr>
          <w:rFonts w:ascii="Rubik Light" w:hAnsi="Rubik Light" w:cs="Rubik Light"/>
          <w:sz w:val="22"/>
          <w:szCs w:val="22"/>
        </w:rPr>
      </w:pPr>
    </w:p>
    <w:p w14:paraId="113F7C0C"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lastRenderedPageBreak/>
        <w:t xml:space="preserve">Los derechos reales de uso y habitación se </w:t>
      </w:r>
      <w:proofErr w:type="gramStart"/>
      <w:r w:rsidRPr="005F0531">
        <w:rPr>
          <w:rFonts w:ascii="Rubik Light" w:hAnsi="Rubik Light" w:cs="Rubik Light"/>
          <w:sz w:val="22"/>
          <w:szCs w:val="22"/>
        </w:rPr>
        <w:t>estimaran</w:t>
      </w:r>
      <w:proofErr w:type="gramEnd"/>
      <w:r w:rsidRPr="005F0531">
        <w:rPr>
          <w:rFonts w:ascii="Rubik Light" w:hAnsi="Rubik Light" w:cs="Rubik Light"/>
          <w:sz w:val="22"/>
          <w:szCs w:val="22"/>
        </w:rPr>
        <w:t xml:space="preserve"> al 75 por 100 de los porcentajes que correspondieren a los usufructos temporales o vitalicios, según las reglas precedentes.</w:t>
      </w:r>
    </w:p>
    <w:p w14:paraId="4B868D8F" w14:textId="77777777" w:rsidR="00A525B1" w:rsidRPr="005F0531" w:rsidRDefault="00A525B1" w:rsidP="00A5062B">
      <w:pPr>
        <w:rPr>
          <w:rFonts w:ascii="Rubik Light" w:hAnsi="Rubik Light" w:cs="Rubik Light"/>
          <w:sz w:val="22"/>
          <w:szCs w:val="22"/>
        </w:rPr>
      </w:pPr>
    </w:p>
    <w:p w14:paraId="03F17F72"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El valor del derecho de la nuda propiedad se fijará de acuerdo con la diferencia entre el valor del usufructo, uso o morada y el valor total del terreno. En los usufructos vitalicios que, a la vez, sean temporales, la nuda propiedad se valorará aplicando, de las reglas anteriores, aquella que le atribuya menos valor.</w:t>
      </w:r>
    </w:p>
    <w:p w14:paraId="62B2D961" w14:textId="77777777" w:rsidR="00A525B1" w:rsidRPr="005F0531" w:rsidRDefault="00A525B1" w:rsidP="00A5062B">
      <w:pPr>
        <w:ind w:left="720"/>
        <w:rPr>
          <w:rFonts w:ascii="Rubik Light" w:hAnsi="Rubik Light" w:cs="Rubik Light"/>
          <w:sz w:val="22"/>
          <w:szCs w:val="22"/>
        </w:rPr>
      </w:pPr>
    </w:p>
    <w:p w14:paraId="024A5B73"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El derecho real de superficie se regirá por las reglas establecidas para el derecho de usufructo.</w:t>
      </w:r>
    </w:p>
    <w:p w14:paraId="79A2EBE4" w14:textId="77777777" w:rsidR="00A525B1" w:rsidRPr="005F0531" w:rsidRDefault="00A525B1" w:rsidP="00A5062B">
      <w:pPr>
        <w:rPr>
          <w:rFonts w:ascii="Rubik Light" w:hAnsi="Rubik Light" w:cs="Rubik Light"/>
          <w:sz w:val="22"/>
          <w:szCs w:val="22"/>
        </w:rPr>
      </w:pPr>
    </w:p>
    <w:p w14:paraId="7A4094F8"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En la constitución o transmisión del derecho a elevar una o más plantas sobre un edificio o terreno, o del derecho a construir bajo el suelo, sin implicar la existencia de un derecho real de superficie, se aplicará el porcentaje correspondiente sobre la parte del valor que representa, respecto del mismo, el módulo de proporcionalidad fijado en la escritura de transmisión o, en su defecto, lo que resulta de establecer la proporción entre la superficie o volumen de las plantas para construir en el suelo o el subsuelo y la total superficie o volumen edificados una vez construidas aquellas. En caso de que no se especifique el número de nuevas plantas, se estará, a fin de establecer la proporcionalidad, el volumen máximo edificable según el planeamiento vigente.</w:t>
      </w:r>
    </w:p>
    <w:p w14:paraId="1A9FEAB4"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w:t>
      </w:r>
    </w:p>
    <w:p w14:paraId="03FBB191"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Los derechos reales no incluidos en apartados anteriores se imputarán por el capital, precio o valor que las partes hubiesen pactado al constituirlos, si fuere igual o mayor que el que resulte de la capitalización al interés legal del dinero de la renta o pensión anual, o éste si aquél fuere menor. En ningún caso el valor así imputado debe ser superior al que tengan determinado en el momento de la transmisión a efectos del impuesto sobre bienes inmuebles. </w:t>
      </w:r>
    </w:p>
    <w:p w14:paraId="69D7C7AA" w14:textId="77777777" w:rsidR="00A525B1" w:rsidRPr="005F0531" w:rsidRDefault="00A525B1" w:rsidP="00A5062B">
      <w:pPr>
        <w:rPr>
          <w:rFonts w:ascii="Rubik Light" w:hAnsi="Rubik Light" w:cs="Rubik Light"/>
          <w:sz w:val="22"/>
          <w:szCs w:val="22"/>
        </w:rPr>
      </w:pPr>
    </w:p>
    <w:p w14:paraId="1613A33F"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Si el derecho de usufructo vitalicio se constituye simultánea y sucesivamente en favor de dos o más usufructuarios, el porcentaje se estimará teniendo en cuenta únicamente el usufructuario de menor edad.</w:t>
      </w:r>
    </w:p>
    <w:p w14:paraId="0A6A5D3D" w14:textId="77777777" w:rsidR="00A525B1" w:rsidRPr="005F0531" w:rsidRDefault="00A525B1" w:rsidP="00A5062B">
      <w:pPr>
        <w:ind w:left="720"/>
        <w:rPr>
          <w:rFonts w:ascii="Rubik Light" w:hAnsi="Rubik Light" w:cs="Rubik Light"/>
          <w:sz w:val="22"/>
          <w:szCs w:val="22"/>
        </w:rPr>
      </w:pPr>
    </w:p>
    <w:p w14:paraId="2D87AD3A" w14:textId="77777777" w:rsidR="00A525B1" w:rsidRPr="005F0531" w:rsidRDefault="00A525B1" w:rsidP="00A5062B">
      <w:pPr>
        <w:ind w:left="720"/>
        <w:rPr>
          <w:rFonts w:ascii="Rubik Light" w:hAnsi="Rubik Light" w:cs="Rubik Light"/>
          <w:sz w:val="22"/>
          <w:szCs w:val="22"/>
        </w:rPr>
      </w:pPr>
      <w:r w:rsidRPr="005F0531">
        <w:rPr>
          <w:rFonts w:ascii="Rubik Light" w:hAnsi="Rubik Light" w:cs="Rubik Light"/>
          <w:sz w:val="22"/>
          <w:szCs w:val="22"/>
        </w:rPr>
        <w:t>En el caso de dos o más usufructos vitalicios sucesivos, el porcentaje aplicable a cada uno de ellos se estimará teniendo en cuenta la edad del respectivo usufructuario; correspondiendo aplicar en estos casos, a la nuda propiedad cuando proceda, el porcentaje residual de menor valor.</w:t>
      </w:r>
    </w:p>
    <w:p w14:paraId="490D4929" w14:textId="77777777" w:rsidR="00A525B1" w:rsidRPr="005F0531" w:rsidRDefault="00A525B1" w:rsidP="00A5062B">
      <w:pPr>
        <w:ind w:left="720"/>
        <w:rPr>
          <w:rFonts w:ascii="Rubik Light" w:hAnsi="Rubik Light" w:cs="Rubik Light"/>
          <w:sz w:val="22"/>
          <w:szCs w:val="22"/>
        </w:rPr>
      </w:pPr>
      <w:r w:rsidRPr="005F0531">
        <w:rPr>
          <w:rFonts w:ascii="Rubik Light" w:hAnsi="Rubik Light" w:cs="Rubik Light"/>
          <w:sz w:val="22"/>
          <w:szCs w:val="22"/>
        </w:rPr>
        <w:t>En las sustituciones fideicomisarias se exigirá el impuesto en la institución y en cada sustitución, aplicando en cada caso el porcentaje estimado según la regla anterior, salvo que el adquirente tuviera facultad de disposición de los bienes, en cuyo caso se liquidará el impuesto por la plena propiedad.</w:t>
      </w:r>
    </w:p>
    <w:p w14:paraId="1DBC817D" w14:textId="77777777" w:rsidR="00A525B1" w:rsidRPr="005F0531" w:rsidRDefault="00A525B1" w:rsidP="00A5062B">
      <w:pPr>
        <w:numPr>
          <w:ilvl w:val="0"/>
          <w:numId w:val="3"/>
        </w:numPr>
        <w:spacing w:after="0"/>
        <w:rPr>
          <w:rFonts w:ascii="Rubik Light" w:hAnsi="Rubik Light" w:cs="Rubik Light"/>
          <w:sz w:val="22"/>
          <w:szCs w:val="22"/>
        </w:rPr>
      </w:pPr>
      <w:r w:rsidRPr="005F0531">
        <w:rPr>
          <w:rFonts w:ascii="Rubik Light" w:hAnsi="Rubik Light" w:cs="Rubik Light"/>
          <w:sz w:val="22"/>
          <w:szCs w:val="22"/>
        </w:rPr>
        <w:t xml:space="preserve">Fallecido el heredero sin aceptar la herencia de su causante y, transmitido a los suyos su “ius </w:t>
      </w:r>
      <w:proofErr w:type="spellStart"/>
      <w:r w:rsidRPr="005F0531">
        <w:rPr>
          <w:rFonts w:ascii="Rubik Light" w:hAnsi="Rubik Light" w:cs="Rubik Light"/>
          <w:sz w:val="22"/>
          <w:szCs w:val="22"/>
        </w:rPr>
        <w:t>delationis</w:t>
      </w:r>
      <w:proofErr w:type="spellEnd"/>
      <w:r w:rsidRPr="005F0531">
        <w:rPr>
          <w:rFonts w:ascii="Rubik Light" w:hAnsi="Rubik Light" w:cs="Rubik Light"/>
          <w:sz w:val="22"/>
          <w:szCs w:val="22"/>
        </w:rPr>
        <w:t>”, al aceptar estos últimos la herencia de su causante -que falleció sin aceptar la del suyo- se entenderá producida una única transmisión y adquisición hereditaria sometida a gravamen.</w:t>
      </w:r>
    </w:p>
    <w:p w14:paraId="63C058D9"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w:t>
      </w:r>
    </w:p>
    <w:p w14:paraId="651D5EC3" w14:textId="77777777" w:rsidR="00A525B1" w:rsidRPr="005F0531" w:rsidRDefault="00A525B1" w:rsidP="00A5062B">
      <w:pPr>
        <w:rPr>
          <w:rFonts w:ascii="Rubik Light" w:hAnsi="Rubik Light" w:cs="Rubik Light"/>
          <w:sz w:val="22"/>
          <w:szCs w:val="22"/>
        </w:rPr>
      </w:pPr>
    </w:p>
    <w:p w14:paraId="32C94831"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lastRenderedPageBreak/>
        <w:t>CAPÍTULO VI. DEUDA TRIBUTARIA</w:t>
      </w:r>
    </w:p>
    <w:p w14:paraId="6EE3421C"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Sección 1ª. Tipo de gravamen y cuota tributaria</w:t>
      </w:r>
    </w:p>
    <w:p w14:paraId="1F6C22DC" w14:textId="77777777" w:rsidR="00A525B1" w:rsidRPr="005F0531" w:rsidRDefault="00A525B1" w:rsidP="00A5062B">
      <w:pPr>
        <w:rPr>
          <w:rFonts w:ascii="Rubik Light" w:hAnsi="Rubik Light" w:cs="Rubik Light"/>
          <w:sz w:val="22"/>
          <w:szCs w:val="22"/>
        </w:rPr>
      </w:pPr>
    </w:p>
    <w:p w14:paraId="128220F9"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11. </w:t>
      </w:r>
    </w:p>
    <w:p w14:paraId="2537BC23" w14:textId="57CF4A3F"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1. La cuota íntegra de este impuesto será el resultado de aplicar a la base imponible o, en su caso, bases imponibles, el tipo del _______________ %. (con un máximo del 30 %)</w:t>
      </w:r>
    </w:p>
    <w:p w14:paraId="66394FB9" w14:textId="77777777" w:rsidR="00A525B1" w:rsidRPr="005F0531" w:rsidRDefault="00A525B1" w:rsidP="00A5062B">
      <w:pPr>
        <w:rPr>
          <w:rFonts w:ascii="Rubik Light" w:hAnsi="Rubik Light" w:cs="Rubik Light"/>
          <w:color w:val="auto"/>
          <w:sz w:val="22"/>
          <w:szCs w:val="22"/>
        </w:rPr>
      </w:pPr>
    </w:p>
    <w:p w14:paraId="3FB45136"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 xml:space="preserve">2. La cuota líquida del impuesto será el resultado de aplicar sobre la cuota íntegra, en su caso, las bonificaciones previstas en el artículo siguiente. </w:t>
      </w:r>
    </w:p>
    <w:p w14:paraId="039C58C4"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 xml:space="preserve"> </w:t>
      </w:r>
    </w:p>
    <w:p w14:paraId="20060A02" w14:textId="77777777" w:rsidR="00A525B1" w:rsidRPr="005F0531" w:rsidRDefault="00A525B1" w:rsidP="00A5062B">
      <w:pPr>
        <w:jc w:val="center"/>
        <w:rPr>
          <w:rFonts w:ascii="Rubik Light" w:hAnsi="Rubik Light" w:cs="Rubik Light"/>
          <w:sz w:val="22"/>
          <w:szCs w:val="22"/>
        </w:rPr>
      </w:pPr>
      <w:r w:rsidRPr="005F0531">
        <w:rPr>
          <w:rFonts w:ascii="Rubik Light" w:hAnsi="Rubik Light" w:cs="Rubik Light"/>
          <w:b/>
          <w:sz w:val="22"/>
          <w:szCs w:val="22"/>
        </w:rPr>
        <w:t>Sección 2ª. Bonificaciones</w:t>
      </w:r>
    </w:p>
    <w:p w14:paraId="22BAA80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Artículo 12.</w:t>
      </w:r>
    </w:p>
    <w:p w14:paraId="065E8F2D"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1.- Cuando el incremento de valor se manifieste, por causa de muerte, respecto de la transmisión de la propiedad de la vivienda habitual del causante o de la constitución o transmisión de un derecho real de goce limitativo de dominio sobre los referidos bienes, a favor de los descendientes, ascendientes, por naturaleza o adopción, y del cónyuge, la cuota íntegra del impuesto se verá bonificada en un _____________%. (con un máximo del 95%)</w:t>
      </w:r>
    </w:p>
    <w:p w14:paraId="577A25CD"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Se considerará vivienda habitual del causante aquella en la que </w:t>
      </w:r>
      <w:proofErr w:type="gramStart"/>
      <w:r w:rsidRPr="005F0531">
        <w:rPr>
          <w:rFonts w:ascii="Rubik Light" w:hAnsi="Rubik Light" w:cs="Rubik Light"/>
          <w:sz w:val="22"/>
          <w:szCs w:val="22"/>
        </w:rPr>
        <w:t>constara</w:t>
      </w:r>
      <w:proofErr w:type="gramEnd"/>
      <w:r w:rsidRPr="005F0531">
        <w:rPr>
          <w:rFonts w:ascii="Rubik Light" w:hAnsi="Rubik Light" w:cs="Rubik Light"/>
          <w:sz w:val="22"/>
          <w:szCs w:val="22"/>
        </w:rPr>
        <w:t xml:space="preserve"> empadronado en los 2 últimos años antes de producirse el fallecimiento. El cumplimiento de este requisito podrá acreditarse mediante certificado de empadronamiento u cualquier otro medio de prueba admitido en derecho.</w:t>
      </w:r>
    </w:p>
    <w:p w14:paraId="6C7FBB5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Este beneficio fiscal tiene carácter rogado. El obligado tributario, en el plazo de seis meses prorrogables por otros seis meses para presentar la declaración, contados desde la fecha de devengo del impuesto (fallecimiento), deberá solicitar la bonificación.</w:t>
      </w:r>
    </w:p>
    <w:p w14:paraId="29A78EBF"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Las solicitudes de beneficios fiscales que se presenten fuera del plazo anterior, o cuando se hayan notificado el inicio de actuaciones inspectoras o de comprobación limitada por no haber presentado la correspondiente declaración, se considerarán extemporáneas, y por tanto no admisibles.</w:t>
      </w:r>
    </w:p>
    <w:p w14:paraId="1C1C03FD" w14:textId="77777777" w:rsidR="00A525B1" w:rsidRPr="005F0531" w:rsidRDefault="00A525B1" w:rsidP="00A5062B">
      <w:pPr>
        <w:rPr>
          <w:rFonts w:ascii="Rubik Light" w:hAnsi="Rubik Light" w:cs="Rubik Light"/>
          <w:color w:val="auto"/>
          <w:sz w:val="22"/>
          <w:szCs w:val="22"/>
        </w:rPr>
      </w:pPr>
    </w:p>
    <w:p w14:paraId="79D1C923"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2. Gozarán una bonificación de hasta el ____ % de la cuota íntegra del impuesto, en las transmisiones de terrenos, y en la transmisión o constitución de derechos reales de goce limitativos del dominio de terrenos, sobre los que se desarrollen actividades económicas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14:paraId="001E47D1" w14:textId="77777777" w:rsidR="00A525B1" w:rsidRPr="005F0531" w:rsidRDefault="00A525B1" w:rsidP="00A5062B">
      <w:pPr>
        <w:rPr>
          <w:rFonts w:ascii="Rubik Light" w:hAnsi="Rubik Light" w:cs="Rubik Light"/>
          <w:color w:val="auto"/>
          <w:sz w:val="22"/>
          <w:szCs w:val="22"/>
        </w:rPr>
      </w:pPr>
    </w:p>
    <w:p w14:paraId="24B5D965"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CAPÍTULO VII. DEVENGO Y PERÍODO IMPOSITIVO</w:t>
      </w:r>
    </w:p>
    <w:p w14:paraId="6F61C192"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lastRenderedPageBreak/>
        <w:t>Sección 1ª. Devengo del impuesto</w:t>
      </w:r>
    </w:p>
    <w:p w14:paraId="144BEA04" w14:textId="77777777" w:rsidR="00A525B1" w:rsidRPr="005F0531" w:rsidRDefault="00A525B1" w:rsidP="00A5062B">
      <w:pPr>
        <w:rPr>
          <w:rFonts w:ascii="Rubik Light" w:hAnsi="Rubik Light" w:cs="Rubik Light"/>
          <w:sz w:val="22"/>
          <w:szCs w:val="22"/>
        </w:rPr>
      </w:pPr>
    </w:p>
    <w:p w14:paraId="3F5D453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13. </w:t>
      </w:r>
    </w:p>
    <w:p w14:paraId="783422F1"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1. El impuesto se devenga: </w:t>
      </w:r>
    </w:p>
    <w:p w14:paraId="032D75F5"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 Cuando se transmita la propiedad del terreno ya sea a título oneroso o gratuito, entre vivos o por causa de muerte, en la fecha de la transmisión. </w:t>
      </w:r>
    </w:p>
    <w:p w14:paraId="0212FBF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b) Cuando se constituya o transmita cualquier derecho real de goce limitativo del dominio, en la fecha en que tenga lugar la constitución o transmisión.</w:t>
      </w:r>
    </w:p>
    <w:p w14:paraId="2D5902E8" w14:textId="77777777" w:rsidR="00A525B1" w:rsidRPr="005F0531" w:rsidRDefault="00A525B1" w:rsidP="00A5062B">
      <w:pPr>
        <w:rPr>
          <w:rFonts w:ascii="Rubik Light" w:hAnsi="Rubik Light" w:cs="Rubik Light"/>
          <w:sz w:val="22"/>
          <w:szCs w:val="22"/>
        </w:rPr>
      </w:pPr>
    </w:p>
    <w:p w14:paraId="4AD15664"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2. A los efectos de lo dispuesto en el apartado anterior, se considerará como fecha de la transmisión: </w:t>
      </w:r>
    </w:p>
    <w:p w14:paraId="5BEC23E7"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En el caso de transmisión por causa de muerte, la transmisión se entiende producida en el momento de la muerte del causante.</w:t>
      </w:r>
    </w:p>
    <w:p w14:paraId="0D2A2C23" w14:textId="77777777" w:rsidR="00A525B1" w:rsidRPr="005F0531" w:rsidRDefault="00A525B1" w:rsidP="00A5062B">
      <w:pPr>
        <w:ind w:left="720"/>
        <w:rPr>
          <w:rFonts w:ascii="Rubik Light" w:hAnsi="Rubik Light" w:cs="Rubik Light"/>
          <w:sz w:val="22"/>
          <w:szCs w:val="22"/>
        </w:rPr>
      </w:pPr>
    </w:p>
    <w:p w14:paraId="25EBFEAD"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En los actos o contratos entre vivos, la del otorgamiento del documento público y, cuando se trate de documentos privados, desde el día en que hubiese sido incorporado o inscrito en un registro público, desde la muerte de cualquiera de los que lo firmaron, o desde el día en que se entregase a un funcionario público por razón de su oficio.</w:t>
      </w:r>
    </w:p>
    <w:p w14:paraId="69960305" w14:textId="77777777" w:rsidR="00A525B1" w:rsidRPr="005F0531" w:rsidRDefault="00A525B1" w:rsidP="00A5062B">
      <w:pPr>
        <w:ind w:firstLine="60"/>
        <w:rPr>
          <w:rFonts w:ascii="Rubik Light" w:hAnsi="Rubik Light" w:cs="Rubik Light"/>
          <w:sz w:val="22"/>
          <w:szCs w:val="22"/>
        </w:rPr>
      </w:pPr>
    </w:p>
    <w:p w14:paraId="3AFEBE4B"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En las ejecuciones hipotecarias se entenderá producida la transmisión en la fecha del testimonio expedido por el Letrado de Administración de Justicia comprensivo del decreto o auto judicial de adjudicación. Excepto que conste y se pruebe que el bien inmueble se ha puesto a disposición del nuevo propietario (</w:t>
      </w:r>
      <w:proofErr w:type="spellStart"/>
      <w:r w:rsidRPr="005F0531">
        <w:rPr>
          <w:rFonts w:ascii="Rubik Light" w:hAnsi="Rubik Light" w:cs="Rubik Light"/>
          <w:sz w:val="22"/>
          <w:szCs w:val="22"/>
        </w:rPr>
        <w:t>traditio</w:t>
      </w:r>
      <w:proofErr w:type="spellEnd"/>
      <w:r w:rsidRPr="005F0531">
        <w:rPr>
          <w:rFonts w:ascii="Rubik Light" w:hAnsi="Rubik Light" w:cs="Rubik Light"/>
          <w:sz w:val="22"/>
          <w:szCs w:val="22"/>
        </w:rPr>
        <w:t xml:space="preserve"> real) en un momento anterior a expedirse el testimonio.</w:t>
      </w:r>
    </w:p>
    <w:p w14:paraId="59D7172A" w14:textId="77777777" w:rsidR="00A525B1" w:rsidRPr="005F0531" w:rsidRDefault="00A525B1" w:rsidP="00A5062B">
      <w:pPr>
        <w:ind w:left="720"/>
        <w:rPr>
          <w:rFonts w:ascii="Rubik Light" w:hAnsi="Rubik Light" w:cs="Rubik Light"/>
          <w:sz w:val="22"/>
          <w:szCs w:val="22"/>
        </w:rPr>
      </w:pPr>
    </w:p>
    <w:p w14:paraId="2BA090E2"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En las subastas administrativas (artículo 104.1 i) del Reglamento General de Recaudación) la transmisión se entiende producida con la certificación del acta de adjudicación de los bienes entregada al adjudicatario, una vez ingresado el remate, o por la correspondiente escritura pública, en aquellos casos en los que el adjudicatario opte por este modo de formalización conforme al artículo 111.1 del citado Reglamento.</w:t>
      </w:r>
    </w:p>
    <w:p w14:paraId="49E2F3C9" w14:textId="77777777" w:rsidR="00A525B1" w:rsidRPr="005F0531" w:rsidRDefault="00A525B1" w:rsidP="00A5062B">
      <w:pPr>
        <w:rPr>
          <w:rFonts w:ascii="Rubik Light" w:hAnsi="Rubik Light" w:cs="Rubik Light"/>
          <w:sz w:val="22"/>
          <w:szCs w:val="22"/>
        </w:rPr>
      </w:pPr>
    </w:p>
    <w:p w14:paraId="22AF3D03"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 xml:space="preserve">En las expropiaciones forzosas, la fecha del acta de ocupación y pago. </w:t>
      </w:r>
    </w:p>
    <w:p w14:paraId="37C47182" w14:textId="77777777" w:rsidR="00A525B1" w:rsidRPr="005F0531" w:rsidRDefault="00A525B1" w:rsidP="00A5062B">
      <w:pPr>
        <w:rPr>
          <w:rFonts w:ascii="Rubik Light" w:hAnsi="Rubik Light" w:cs="Rubik Light"/>
          <w:sz w:val="22"/>
          <w:szCs w:val="22"/>
        </w:rPr>
      </w:pPr>
    </w:p>
    <w:p w14:paraId="064364C4" w14:textId="77777777" w:rsidR="00A525B1" w:rsidRPr="005F0531" w:rsidRDefault="00A525B1" w:rsidP="00A5062B">
      <w:pPr>
        <w:numPr>
          <w:ilvl w:val="0"/>
          <w:numId w:val="4"/>
        </w:numPr>
        <w:spacing w:after="0"/>
        <w:rPr>
          <w:rFonts w:ascii="Rubik Light" w:hAnsi="Rubik Light" w:cs="Rubik Light"/>
          <w:sz w:val="22"/>
          <w:szCs w:val="22"/>
        </w:rPr>
      </w:pPr>
      <w:r w:rsidRPr="005F0531">
        <w:rPr>
          <w:rFonts w:ascii="Rubik Light" w:hAnsi="Rubik Light" w:cs="Rubik Light"/>
          <w:sz w:val="22"/>
          <w:szCs w:val="22"/>
        </w:rPr>
        <w:t>En el caso de adjudicación de solares que se efectúen por entidades urbanísticas a favor de titulares de derechos o unidades de aprovechamiento distintos de los propietarios originariamente aportantes de los terrenos, la de protocolización del acta de reparcelación.</w:t>
      </w:r>
    </w:p>
    <w:p w14:paraId="627D7331" w14:textId="77777777" w:rsidR="00A525B1" w:rsidRPr="005F0531" w:rsidRDefault="00A525B1" w:rsidP="00A5062B">
      <w:pPr>
        <w:rPr>
          <w:rFonts w:ascii="Rubik Light" w:hAnsi="Rubik Light" w:cs="Rubik Light"/>
          <w:sz w:val="22"/>
          <w:szCs w:val="22"/>
        </w:rPr>
      </w:pPr>
    </w:p>
    <w:p w14:paraId="01B8FD4A" w14:textId="77777777" w:rsidR="00A525B1" w:rsidRPr="005F0531" w:rsidRDefault="00A525B1" w:rsidP="00A5062B">
      <w:pPr>
        <w:rPr>
          <w:rFonts w:ascii="Rubik Light" w:hAnsi="Rubik Light" w:cs="Rubik Light"/>
          <w:sz w:val="22"/>
          <w:szCs w:val="22"/>
        </w:rPr>
      </w:pPr>
    </w:p>
    <w:p w14:paraId="30D9B53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14. </w:t>
      </w:r>
    </w:p>
    <w:p w14:paraId="2B0A7EDD"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lastRenderedPageBreak/>
        <w:t xml:space="preserve">1. Cuando se declare o reconozca judicial o administrativamente por resolución firme haber tenido lugar la nulidad, rescisión o resolución del acto o contrato determinante de la transmisión del terreno o de la constitución o transmisión del derecho real de goce sobre aquél, el sujeto pasivo tendrá derecho a la devolución del impuesto satisfecho, siempre que dicho acto o contrato no le hubiere producido efectos lucrativos y que reclame la devolución en el plazo de 4 años desde que la resolución quedó firme, entendiéndose que existe efecto lucrativo cuando no se justifique que los interesados deban efectuar las recíprocas devoluciones a que se refiere el artículo 1.295 del Código Civil. Aunque el acto o contrato no haya producido efectos lucrativos, si la rescisión o resolución se declarase por incumplimiento de las obligaciones del sujeto pasivo del impuesto, no habrá lugar a devolución. </w:t>
      </w:r>
    </w:p>
    <w:p w14:paraId="4CB1BA61"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2. Si el contrato queda sin efecto por mutuo acuerdo de las partes contratantes, no procederá la devolución del impuesto satisfecho y se considerará como un acto nuevo sujeto a tributación. Como tal mutuo acuerdo se estimará la avenencia en acto de conciliación y el simple allanamiento a la demanda. </w:t>
      </w:r>
    </w:p>
    <w:p w14:paraId="5947E9C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3. En los actos o contratos en que medie alguna condición, su calificación se hará con arreglo a las prescripciones contenidas en el Código Civil. Si fuese suspensiva no se liquidará el impuesto hasta que ésta se cumpla. Si la condición fuese resolutoria, se exigirá el impuesto desde luego, a reserva cuando la condición se cumpla, de hacer la oportuna devolución según la regla del apartado 1 anterior.</w:t>
      </w:r>
    </w:p>
    <w:p w14:paraId="7D436CF2" w14:textId="77777777" w:rsidR="00BC699E" w:rsidRDefault="00BC699E" w:rsidP="00A5062B">
      <w:pPr>
        <w:jc w:val="center"/>
        <w:rPr>
          <w:rFonts w:ascii="Rubik Light" w:hAnsi="Rubik Light" w:cs="Rubik Light"/>
          <w:b/>
          <w:sz w:val="22"/>
          <w:szCs w:val="22"/>
        </w:rPr>
      </w:pPr>
    </w:p>
    <w:p w14:paraId="41A74816" w14:textId="20872FD9"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Sección 2ª. Período impositivo</w:t>
      </w:r>
    </w:p>
    <w:p w14:paraId="1B4F674F"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15. </w:t>
      </w:r>
    </w:p>
    <w:p w14:paraId="503B11A6"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El período de imposición comprende el número de años a lo largo de los cuales se pone de manifiesto el incremento del valor de los terrenos y se computará desde el devengo inmediato anterior del impuesto, con el límite máximo de veinte años. </w:t>
      </w:r>
    </w:p>
    <w:p w14:paraId="0520DFE1" w14:textId="77777777" w:rsidR="00A525B1" w:rsidRPr="005F0531" w:rsidRDefault="00A525B1" w:rsidP="00A5062B">
      <w:pPr>
        <w:rPr>
          <w:rFonts w:ascii="Rubik Light" w:hAnsi="Rubik Light" w:cs="Rubik Light"/>
          <w:sz w:val="22"/>
          <w:szCs w:val="22"/>
        </w:rPr>
      </w:pPr>
    </w:p>
    <w:p w14:paraId="593974A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16. </w:t>
      </w:r>
    </w:p>
    <w:p w14:paraId="0C3D3A89"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la posterior transmisión de los terrenos de naturaleza urbana a que se refieren los actos no sujetos se entenderá que el número de años a lo largo de los cuales se ha puesto de manifiesto el incremento del valor no se ha interrumpido por causa de dichos actos y, por tanto, se tomará como fecha inicial del periodo impositivo la del último devengo del impuesto anterior a los mismos.</w:t>
      </w:r>
    </w:p>
    <w:p w14:paraId="23FB43A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No obstante, en los casos de no sujeción porque el contribuyente ha probado la inexistencia de incremento, se considerará como hito para determinar el periodo generacional en la siguiente transmisión.</w:t>
      </w:r>
    </w:p>
    <w:p w14:paraId="795F4C1C" w14:textId="77777777" w:rsidR="00A525B1" w:rsidRPr="005F0531" w:rsidRDefault="00A525B1" w:rsidP="00A5062B">
      <w:pPr>
        <w:rPr>
          <w:rFonts w:ascii="Rubik Light" w:hAnsi="Rubik Light" w:cs="Rubik Light"/>
          <w:sz w:val="22"/>
          <w:szCs w:val="22"/>
        </w:rPr>
      </w:pPr>
    </w:p>
    <w:p w14:paraId="57F7C455"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17. </w:t>
      </w:r>
    </w:p>
    <w:p w14:paraId="5733DBF3"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las adquisiciones de inmuebles en el ejercicio del derecho de retracto legal, se considerará como fecha de iniciación del período impositivo la que se tomó o hubo de tomarse como tal en la transmisión verificada a favor del retraído.</w:t>
      </w:r>
    </w:p>
    <w:p w14:paraId="7B89E8C4" w14:textId="77777777" w:rsidR="00A525B1" w:rsidRPr="005F0531" w:rsidRDefault="00A525B1" w:rsidP="00A5062B">
      <w:pPr>
        <w:rPr>
          <w:rFonts w:ascii="Rubik Light" w:hAnsi="Rubik Light" w:cs="Rubik Light"/>
          <w:sz w:val="22"/>
          <w:szCs w:val="22"/>
        </w:rPr>
      </w:pPr>
    </w:p>
    <w:p w14:paraId="74B3B231"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CAPÍTULO VIII. GESTIÓN DEL IMPUESTO</w:t>
      </w:r>
    </w:p>
    <w:p w14:paraId="2CC7FFE8"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lastRenderedPageBreak/>
        <w:t>Sección 1ª. Obligaciones materiales y formales</w:t>
      </w:r>
    </w:p>
    <w:p w14:paraId="0FB135BC" w14:textId="77777777" w:rsidR="00A525B1" w:rsidRPr="005F0531" w:rsidRDefault="00A525B1" w:rsidP="00A5062B">
      <w:pPr>
        <w:rPr>
          <w:rFonts w:ascii="Rubik Light" w:hAnsi="Rubik Light" w:cs="Rubik Light"/>
          <w:sz w:val="22"/>
          <w:szCs w:val="22"/>
        </w:rPr>
      </w:pPr>
    </w:p>
    <w:p w14:paraId="1C67279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18. </w:t>
      </w:r>
    </w:p>
    <w:p w14:paraId="3C66B1D5"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1. Los sujetos pasivos están obligados a practicar la declaración del impuesto. A la declaración se acompañará el documento en el que conste los actos o contratos que originan la imposición del impuesto, en los plazos siguientes:</w:t>
      </w:r>
    </w:p>
    <w:p w14:paraId="6D1E11E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a) En las transmisiones </w:t>
      </w:r>
      <w:proofErr w:type="spellStart"/>
      <w:r w:rsidRPr="005F0531">
        <w:rPr>
          <w:rFonts w:ascii="Rubik Light" w:hAnsi="Rubik Light" w:cs="Rubik Light"/>
          <w:sz w:val="22"/>
          <w:szCs w:val="22"/>
        </w:rPr>
        <w:t>inter-vivos</w:t>
      </w:r>
      <w:proofErr w:type="spellEnd"/>
      <w:r w:rsidRPr="005F0531">
        <w:rPr>
          <w:rFonts w:ascii="Rubik Light" w:hAnsi="Rubik Light" w:cs="Rubik Light"/>
          <w:sz w:val="22"/>
          <w:szCs w:val="22"/>
        </w:rPr>
        <w:t xml:space="preserve"> y en la constitución de derechos reales de goce, así como en las donaciones, dentro de los 30 días hábiles siguientes a aquel en que haya tenido lugar el hecho imponible. </w:t>
      </w:r>
    </w:p>
    <w:p w14:paraId="2DD47CF2"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b) En las transmisiones mortis-causa, dentro del plazo de seis meses a contar desde la fecha de fallecimiento del causante o, en su caso, dentro de la prórroga a que se refiere el párrafo siguiente. </w:t>
      </w:r>
    </w:p>
    <w:p w14:paraId="25A2436F"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Con anterioridad al vencimiento del plazo de seis meses antes señalado, el sujeto pasivo podrá instar la prórroga </w:t>
      </w:r>
      <w:proofErr w:type="gramStart"/>
      <w:r w:rsidRPr="005F0531">
        <w:rPr>
          <w:rFonts w:ascii="Rubik Light" w:hAnsi="Rubik Light" w:cs="Rubik Light"/>
          <w:sz w:val="22"/>
          <w:szCs w:val="22"/>
        </w:rPr>
        <w:t>del mismo</w:t>
      </w:r>
      <w:proofErr w:type="gramEnd"/>
      <w:r w:rsidRPr="005F0531">
        <w:rPr>
          <w:rFonts w:ascii="Rubik Light" w:hAnsi="Rubik Light" w:cs="Rubik Light"/>
          <w:sz w:val="22"/>
          <w:szCs w:val="22"/>
        </w:rPr>
        <w:t xml:space="preserve"> por otro plazo de hasta seis meses de duración, que se entenderá tácitamente concedido por el tiempo concreto solicitado.</w:t>
      </w:r>
    </w:p>
    <w:p w14:paraId="042EB024"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2.  La declaración deberá contener todos los elementos de la relación tributaria que sean imprescindibles para practicar la liquidación procedente y, en todo caso, los siguientes:</w:t>
      </w:r>
    </w:p>
    <w:p w14:paraId="4EECEECD" w14:textId="34A66474"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a) Nombre y apellidos o razón social del sujeto pasivo, contribuyente y, en su caso, del sustituto del contribuyente, N.I.F.</w:t>
      </w:r>
      <w:r w:rsidR="00FB72C8" w:rsidRPr="005F0531">
        <w:rPr>
          <w:rFonts w:ascii="Rubik Light" w:hAnsi="Rubik Light" w:cs="Rubik Light"/>
          <w:sz w:val="22"/>
          <w:szCs w:val="22"/>
        </w:rPr>
        <w:t xml:space="preserve"> </w:t>
      </w:r>
      <w:r w:rsidRPr="005F0531">
        <w:rPr>
          <w:rFonts w:ascii="Rubik Light" w:hAnsi="Rubik Light" w:cs="Rubik Light"/>
          <w:sz w:val="22"/>
          <w:szCs w:val="22"/>
        </w:rPr>
        <w:t>de éstos, y sus domicilios, así como los mismos datos de los demás intervinientes en el hecho, acto o negocio jurídico determinante del devengo del impuesto.</w:t>
      </w:r>
    </w:p>
    <w:p w14:paraId="4F1044E8"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b) En su caso, nombre y apellidos del representante del sujeto pasivo ante la Administración Municipal, N.I.F. de éste, así como su domicilio.</w:t>
      </w:r>
    </w:p>
    <w:p w14:paraId="60567D31"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 xml:space="preserve">c) Lugar y Notario autorizante de la escritura, número de protocolo y fecha de </w:t>
      </w:r>
      <w:proofErr w:type="gramStart"/>
      <w:r w:rsidRPr="005F0531">
        <w:rPr>
          <w:rFonts w:ascii="Rubik Light" w:hAnsi="Rubik Light" w:cs="Rubik Light"/>
          <w:sz w:val="22"/>
          <w:szCs w:val="22"/>
        </w:rPr>
        <w:t>la misma</w:t>
      </w:r>
      <w:proofErr w:type="gramEnd"/>
      <w:r w:rsidRPr="005F0531">
        <w:rPr>
          <w:rFonts w:ascii="Rubik Light" w:hAnsi="Rubik Light" w:cs="Rubik Light"/>
          <w:sz w:val="22"/>
          <w:szCs w:val="22"/>
        </w:rPr>
        <w:t>.</w:t>
      </w:r>
    </w:p>
    <w:p w14:paraId="6C72FA34"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d)Situación física y referencia catastral del inmueble.</w:t>
      </w:r>
    </w:p>
    <w:p w14:paraId="00AB4565" w14:textId="46280D65"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e) Participación adquirida, cuota de copropiedad y, en su caso, solicitud de división.</w:t>
      </w:r>
    </w:p>
    <w:p w14:paraId="35904B57"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f) Número de años a lo largo de los cuales se ha puesto de manifiesto el incremento del valor de los terrenos y fecha de realización anterior del hecho imponible.</w:t>
      </w:r>
    </w:p>
    <w:p w14:paraId="4D5F7383"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g) Opción, en su caso, por el método de determinación directa de la base imponible.</w:t>
      </w:r>
    </w:p>
    <w:p w14:paraId="40DA321C"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h) En su caso, solicitud de beneficios fiscales que se consideren procedentes.</w:t>
      </w:r>
    </w:p>
    <w:p w14:paraId="0D6E9639" w14:textId="77777777" w:rsidR="00DB72DE" w:rsidRPr="005F0531" w:rsidRDefault="00DB72DE" w:rsidP="000530F0">
      <w:pPr>
        <w:rPr>
          <w:rFonts w:ascii="Rubik Light" w:hAnsi="Rubik Light" w:cs="Rubik Light"/>
          <w:sz w:val="22"/>
          <w:szCs w:val="22"/>
        </w:rPr>
      </w:pPr>
    </w:p>
    <w:p w14:paraId="39B6626F" w14:textId="39CE79AD"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 xml:space="preserve">3. En el caso de las transmisiones mortis causa, se acompañará a la </w:t>
      </w:r>
      <w:r w:rsidR="00FB72C8" w:rsidRPr="005F0531">
        <w:rPr>
          <w:rFonts w:ascii="Rubik Light" w:hAnsi="Rubik Light" w:cs="Rubik Light"/>
          <w:sz w:val="22"/>
          <w:szCs w:val="22"/>
        </w:rPr>
        <w:t>declaración</w:t>
      </w:r>
      <w:r w:rsidRPr="005F0531">
        <w:rPr>
          <w:rFonts w:ascii="Rubik Light" w:hAnsi="Rubik Light" w:cs="Rubik Light"/>
          <w:sz w:val="22"/>
          <w:szCs w:val="22"/>
        </w:rPr>
        <w:t xml:space="preserve"> la siguiente documentación:</w:t>
      </w:r>
    </w:p>
    <w:p w14:paraId="6F86827E"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a. Copia simple de la escritura de la partición hereditaria, si la hubiera.</w:t>
      </w:r>
    </w:p>
    <w:p w14:paraId="111CA9D2" w14:textId="17DBFA4A"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b. Copia de la declaración o autoliquidación presentada a efectos del Impuesto sobre Sucesiones y Donaciones.</w:t>
      </w:r>
    </w:p>
    <w:p w14:paraId="36AFAE74"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c. Fotocopia del certificado de defunción.</w:t>
      </w:r>
    </w:p>
    <w:p w14:paraId="68DF4A23"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t>d. Fotocopia de certificación de actos de última voluntad.</w:t>
      </w:r>
    </w:p>
    <w:p w14:paraId="08C77949" w14:textId="77777777" w:rsidR="000530F0" w:rsidRPr="005F0531" w:rsidRDefault="000530F0" w:rsidP="000530F0">
      <w:pPr>
        <w:rPr>
          <w:rFonts w:ascii="Rubik Light" w:hAnsi="Rubik Light" w:cs="Rubik Light"/>
          <w:sz w:val="22"/>
          <w:szCs w:val="22"/>
        </w:rPr>
      </w:pPr>
      <w:r w:rsidRPr="005F0531">
        <w:rPr>
          <w:rFonts w:ascii="Rubik Light" w:hAnsi="Rubik Light" w:cs="Rubik Light"/>
          <w:sz w:val="22"/>
          <w:szCs w:val="22"/>
        </w:rPr>
        <w:lastRenderedPageBreak/>
        <w:t>e. Fotocopia del testamento, en su caso.</w:t>
      </w:r>
    </w:p>
    <w:p w14:paraId="33044F16" w14:textId="77777777" w:rsidR="00DB72DE" w:rsidRPr="005F0531" w:rsidRDefault="00DB72DE" w:rsidP="00A5062B">
      <w:pPr>
        <w:rPr>
          <w:rFonts w:ascii="Rubik Light" w:hAnsi="Rubik Light" w:cs="Rubik Light"/>
          <w:sz w:val="22"/>
          <w:szCs w:val="22"/>
        </w:rPr>
      </w:pPr>
    </w:p>
    <w:p w14:paraId="2754435C" w14:textId="55300C7F" w:rsidR="00A525B1" w:rsidRPr="005F0531" w:rsidRDefault="000530F0" w:rsidP="00A5062B">
      <w:pPr>
        <w:rPr>
          <w:rFonts w:ascii="Rubik Light" w:hAnsi="Rubik Light" w:cs="Rubik Light"/>
          <w:sz w:val="22"/>
          <w:szCs w:val="22"/>
        </w:rPr>
      </w:pPr>
      <w:r w:rsidRPr="005F0531">
        <w:rPr>
          <w:rFonts w:ascii="Rubik Light" w:hAnsi="Rubik Light" w:cs="Rubik Light"/>
          <w:sz w:val="22"/>
          <w:szCs w:val="22"/>
        </w:rPr>
        <w:t>4</w:t>
      </w:r>
      <w:r w:rsidR="00A525B1" w:rsidRPr="005F0531">
        <w:rPr>
          <w:rFonts w:ascii="Rubik Light" w:hAnsi="Rubik Light" w:cs="Rubik Light"/>
          <w:sz w:val="22"/>
          <w:szCs w:val="22"/>
        </w:rPr>
        <w:t>. Los sujetos pasivos que pretendan hacer valer la existencia del decremento del valor de los terrenos de naturaleza urbana</w:t>
      </w:r>
      <w:r w:rsidR="00BC699E">
        <w:rPr>
          <w:rFonts w:ascii="Rubik Light" w:hAnsi="Rubik Light" w:cs="Rubik Light"/>
          <w:sz w:val="22"/>
          <w:szCs w:val="22"/>
        </w:rPr>
        <w:t xml:space="preserve"> </w:t>
      </w:r>
      <w:r w:rsidR="00A525B1" w:rsidRPr="005F0531">
        <w:rPr>
          <w:rFonts w:ascii="Rubik Light" w:hAnsi="Rubik Light" w:cs="Rubik Light"/>
          <w:sz w:val="22"/>
          <w:szCs w:val="22"/>
        </w:rPr>
        <w:t>y</w:t>
      </w:r>
      <w:r w:rsidR="00BC699E">
        <w:rPr>
          <w:rFonts w:ascii="Rubik Light" w:hAnsi="Rubik Light" w:cs="Rubik Light"/>
          <w:sz w:val="22"/>
          <w:szCs w:val="22"/>
        </w:rPr>
        <w:t>,</w:t>
      </w:r>
      <w:r w:rsidR="00A525B1" w:rsidRPr="005F0531">
        <w:rPr>
          <w:rFonts w:ascii="Rubik Light" w:hAnsi="Rubik Light" w:cs="Rubik Light"/>
          <w:sz w:val="22"/>
          <w:szCs w:val="22"/>
        </w:rPr>
        <w:t xml:space="preserve"> por tanto, la no sujeción de la transmisión, deberán presentar con la declaración del impuesto tanto el título anterior de adquisición original como el documento en el que conste el acto o contrato de transmisión final del inmueble.</w:t>
      </w:r>
    </w:p>
    <w:p w14:paraId="66A8D76B"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las adquisiciones o transmisiones a título lucrativo habrá de presentar los valores declarados a efectos del Impuesto sobre Sucesiones y Donaciones en los términos establecidos en el artículo 104.5 del TRLRHL.</w:t>
      </w:r>
    </w:p>
    <w:p w14:paraId="765D0A25"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Si el decremento no resulta suficientemente probado este Ayuntamiento practicará liquidación definitiva que notificará al sujeto pasivo del impuesto, sin perjuicio del derecho que le asiste de interponer el correspondiente recurso de reposición. </w:t>
      </w:r>
    </w:p>
    <w:p w14:paraId="6A5B2B52" w14:textId="77777777" w:rsidR="00A525B1" w:rsidRPr="005F0531" w:rsidRDefault="00A525B1" w:rsidP="00A5062B">
      <w:pPr>
        <w:rPr>
          <w:rFonts w:ascii="Rubik Light" w:hAnsi="Rubik Light" w:cs="Rubik Light"/>
          <w:sz w:val="22"/>
          <w:szCs w:val="22"/>
        </w:rPr>
      </w:pPr>
    </w:p>
    <w:p w14:paraId="4699C89F" w14:textId="4DA71EAC" w:rsidR="00A525B1" w:rsidRPr="005F0531" w:rsidRDefault="00DB72DE" w:rsidP="00A5062B">
      <w:pPr>
        <w:rPr>
          <w:rFonts w:ascii="Rubik Light" w:hAnsi="Rubik Light" w:cs="Rubik Light"/>
          <w:sz w:val="22"/>
          <w:szCs w:val="22"/>
        </w:rPr>
      </w:pPr>
      <w:r w:rsidRPr="005F0531">
        <w:rPr>
          <w:rFonts w:ascii="Rubik Light" w:hAnsi="Rubik Light" w:cs="Rubik Light"/>
          <w:sz w:val="22"/>
          <w:szCs w:val="22"/>
        </w:rPr>
        <w:t>5</w:t>
      </w:r>
      <w:r w:rsidR="00A525B1" w:rsidRPr="005F0531">
        <w:rPr>
          <w:rFonts w:ascii="Rubik Light" w:hAnsi="Rubik Light" w:cs="Rubik Light"/>
          <w:sz w:val="22"/>
          <w:szCs w:val="22"/>
        </w:rPr>
        <w:t>.- Los sujetos pasivos que, en aplicación del artículo 107.5 del TRLRHL, pretendan hacer valer que la base imponible calculada por estimación directa, según la ganancia obtenida, es inferior al cálculo de la base imponible calculada mediante la fórmula de cálculo objetiva del artículo 107.1 al 4 del del TRLRHL, deberá aportar en el momento de la declaración del impuesto, tanto el título anterior de adquisición original como el documento en el que conste el acto o contrato de transmisión final del inmueble.</w:t>
      </w:r>
    </w:p>
    <w:p w14:paraId="14B261D1"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las adquisiciones o transmisiones a título lucrativo habrá de presentar los valores declarados a efectos del Impuesto sobre Sucesiones y Donaciones en los términos establecidos en el artículo 104.5 del TRLRHL.</w:t>
      </w:r>
    </w:p>
    <w:p w14:paraId="1A5F518A"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En caso de aportar la documentación acreditativa correspondiente, le resultará de aplicación la fórmula de cálculo por estimación directa, siempre que le resulte más beneficiosa.</w:t>
      </w:r>
    </w:p>
    <w:p w14:paraId="55C7E0F7" w14:textId="77777777" w:rsidR="00A525B1" w:rsidRPr="005F0531" w:rsidRDefault="00A525B1" w:rsidP="00A5062B">
      <w:pPr>
        <w:rPr>
          <w:rFonts w:ascii="Rubik Light" w:hAnsi="Rubik Light" w:cs="Rubik Light"/>
          <w:sz w:val="22"/>
          <w:szCs w:val="22"/>
        </w:rPr>
      </w:pPr>
    </w:p>
    <w:p w14:paraId="700E48A8" w14:textId="6D7AA420" w:rsidR="00A525B1" w:rsidRPr="005F0531" w:rsidRDefault="00DB72DE" w:rsidP="00A5062B">
      <w:pPr>
        <w:rPr>
          <w:rFonts w:ascii="Rubik Light" w:hAnsi="Rubik Light" w:cs="Rubik Light"/>
          <w:sz w:val="22"/>
          <w:szCs w:val="22"/>
        </w:rPr>
      </w:pPr>
      <w:r w:rsidRPr="005F0531">
        <w:rPr>
          <w:rFonts w:ascii="Rubik Light" w:hAnsi="Rubik Light" w:cs="Rubik Light"/>
          <w:sz w:val="22"/>
          <w:szCs w:val="22"/>
        </w:rPr>
        <w:t>6</w:t>
      </w:r>
      <w:r w:rsidR="00A525B1" w:rsidRPr="005F0531">
        <w:rPr>
          <w:rFonts w:ascii="Rubik Light" w:hAnsi="Rubik Light" w:cs="Rubik Light"/>
          <w:sz w:val="22"/>
          <w:szCs w:val="22"/>
        </w:rPr>
        <w:t>.- Los pactos que los sujetos pasivos efectúen en escritura pública o cualquier otro documento para trasladar el pago del impuesto a un tercero no surtirá efecto frente a la Administración, y la liquidación se emitirá al sujeto pasivo del impuesto con indicación del plazo de ingreso y expresión de los recursos procedentes.</w:t>
      </w:r>
    </w:p>
    <w:p w14:paraId="6F064891" w14:textId="76403BAE" w:rsidR="00A525B1" w:rsidRPr="005F0531" w:rsidRDefault="00A525B1" w:rsidP="00A5062B">
      <w:pPr>
        <w:rPr>
          <w:rFonts w:ascii="Rubik Light" w:hAnsi="Rubik Light" w:cs="Rubik Light"/>
          <w:sz w:val="22"/>
          <w:szCs w:val="22"/>
        </w:rPr>
      </w:pPr>
    </w:p>
    <w:p w14:paraId="5F1AE679" w14:textId="704C8362" w:rsidR="00A525B1" w:rsidRPr="005F0531" w:rsidRDefault="00DB72DE" w:rsidP="00A5062B">
      <w:pPr>
        <w:rPr>
          <w:rFonts w:ascii="Rubik Light" w:hAnsi="Rubik Light" w:cs="Rubik Light"/>
          <w:sz w:val="22"/>
          <w:szCs w:val="22"/>
        </w:rPr>
      </w:pPr>
      <w:r w:rsidRPr="005F0531">
        <w:rPr>
          <w:rFonts w:ascii="Rubik Light" w:hAnsi="Rubik Light" w:cs="Rubik Light"/>
          <w:sz w:val="22"/>
          <w:szCs w:val="22"/>
        </w:rPr>
        <w:t>7</w:t>
      </w:r>
      <w:r w:rsidR="00A525B1" w:rsidRPr="005F0531">
        <w:rPr>
          <w:rFonts w:ascii="Rubik Light" w:hAnsi="Rubik Light" w:cs="Rubik Light"/>
          <w:sz w:val="22"/>
          <w:szCs w:val="22"/>
        </w:rPr>
        <w:t>.- En el supuesto de que la documentación aportada fuera insuficiente para la correcta liquidación del impuesto, se requerirá al sujeto pasivo para que en el plazo máximo de 10 días presente aquella que fuere necesaria.</w:t>
      </w:r>
    </w:p>
    <w:p w14:paraId="26089D4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En caso de no ser atendido este requerimiento, se practicará la liquidación con los medios de que disponga esta Administración aplicándose la fórmula de cálculo objetiva prevista en el artículo 107.1 al 4 del TRLRHL. </w:t>
      </w:r>
    </w:p>
    <w:p w14:paraId="33868728" w14:textId="77777777" w:rsidR="00A525B1" w:rsidRPr="005F0531" w:rsidRDefault="00A525B1" w:rsidP="00A5062B">
      <w:pPr>
        <w:rPr>
          <w:rFonts w:ascii="Rubik Light" w:hAnsi="Rubik Light" w:cs="Rubik Light"/>
          <w:sz w:val="22"/>
          <w:szCs w:val="22"/>
        </w:rPr>
      </w:pPr>
    </w:p>
    <w:p w14:paraId="4AFBE59E"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19. </w:t>
      </w:r>
    </w:p>
    <w:p w14:paraId="3CA4C14E"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lastRenderedPageBreak/>
        <w:t xml:space="preserve"> 1. Con independencia de lo dispuesto en el artículo anterior, están igualmente obligados a comunicar al Ayuntamiento la realización del hecho imponible en los mismos plazos que los sujetos pasivos: </w:t>
      </w:r>
    </w:p>
    <w:p w14:paraId="17989E3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 En los negocios jurídicos entre vivos a título lucrativo, el donante o la persona que constituya o transmita el derecho real de que se trate. </w:t>
      </w:r>
    </w:p>
    <w:p w14:paraId="54F94A8A"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b) En los negocios jurídicos entre vivos a título oneroso, el adquirente o persona a cuyo favor se constituya o transmita el derecho real de que se trate.</w:t>
      </w:r>
    </w:p>
    <w:p w14:paraId="42FE175A" w14:textId="06BCAE6C" w:rsidR="00A525B1" w:rsidRPr="005F0531" w:rsidRDefault="00A525B1" w:rsidP="000530F0">
      <w:pPr>
        <w:rPr>
          <w:rFonts w:ascii="Rubik Light" w:hAnsi="Rubik Light" w:cs="Rubik Light"/>
          <w:color w:val="auto"/>
          <w:sz w:val="22"/>
          <w:szCs w:val="22"/>
        </w:rPr>
      </w:pPr>
      <w:r w:rsidRPr="005F0531">
        <w:rPr>
          <w:rFonts w:ascii="Rubik Light" w:hAnsi="Rubik Light" w:cs="Rubik Light"/>
          <w:sz w:val="22"/>
          <w:szCs w:val="22"/>
        </w:rPr>
        <w:t xml:space="preserve"> </w:t>
      </w:r>
      <w:r w:rsidR="000530F0" w:rsidRPr="005F0531">
        <w:rPr>
          <w:rFonts w:ascii="Rubik Light" w:hAnsi="Rubik Light" w:cs="Rubik Light"/>
          <w:sz w:val="22"/>
          <w:szCs w:val="22"/>
        </w:rPr>
        <w:t>2.- La Comunicación</w:t>
      </w:r>
      <w:r w:rsidR="00DB72DE" w:rsidRPr="005F0531">
        <w:rPr>
          <w:rFonts w:ascii="Rubik Light" w:hAnsi="Rubik Light" w:cs="Rubik Light"/>
          <w:sz w:val="22"/>
          <w:szCs w:val="22"/>
        </w:rPr>
        <w:t xml:space="preserve"> a realizar por las personas anteriormente enunciadas</w:t>
      </w:r>
      <w:r w:rsidR="000530F0" w:rsidRPr="005F0531">
        <w:rPr>
          <w:rFonts w:ascii="Rubik Light" w:hAnsi="Rubik Light" w:cs="Rubik Light"/>
          <w:sz w:val="22"/>
          <w:szCs w:val="22"/>
        </w:rPr>
        <w:t xml:space="preserve"> contendrá los mismos datos que la declaración</w:t>
      </w:r>
      <w:r w:rsidR="00DB72DE" w:rsidRPr="005F0531">
        <w:rPr>
          <w:rFonts w:ascii="Rubik Light" w:hAnsi="Rubik Light" w:cs="Rubik Light"/>
          <w:sz w:val="22"/>
          <w:szCs w:val="22"/>
        </w:rPr>
        <w:t xml:space="preserve"> previst</w:t>
      </w:r>
      <w:r w:rsidR="0001308A" w:rsidRPr="005F0531">
        <w:rPr>
          <w:rFonts w:ascii="Rubik Light" w:hAnsi="Rubik Light" w:cs="Rubik Light"/>
          <w:sz w:val="22"/>
          <w:szCs w:val="22"/>
        </w:rPr>
        <w:t>a</w:t>
      </w:r>
      <w:r w:rsidR="00DB72DE" w:rsidRPr="005F0531">
        <w:rPr>
          <w:rFonts w:ascii="Rubik Light" w:hAnsi="Rubik Light" w:cs="Rubik Light"/>
          <w:sz w:val="22"/>
          <w:szCs w:val="22"/>
        </w:rPr>
        <w:t xml:space="preserve"> en el artículo anterior</w:t>
      </w:r>
      <w:r w:rsidR="000530F0" w:rsidRPr="005F0531">
        <w:rPr>
          <w:rFonts w:ascii="Rubik Light" w:hAnsi="Rubik Light" w:cs="Rubik Light"/>
          <w:sz w:val="22"/>
          <w:szCs w:val="22"/>
        </w:rPr>
        <w:t>.</w:t>
      </w:r>
    </w:p>
    <w:p w14:paraId="347BF741" w14:textId="77777777" w:rsidR="00A525B1" w:rsidRPr="005F0531" w:rsidRDefault="00A525B1" w:rsidP="00A5062B">
      <w:pPr>
        <w:rPr>
          <w:rFonts w:ascii="Rubik Light" w:hAnsi="Rubik Light" w:cs="Rubik Light"/>
          <w:color w:val="auto"/>
          <w:sz w:val="22"/>
          <w:szCs w:val="22"/>
        </w:rPr>
      </w:pPr>
    </w:p>
    <w:p w14:paraId="12C950A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20. </w:t>
      </w:r>
    </w:p>
    <w:p w14:paraId="502800EA"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Asimismo, según lo establecido en el artículo 110.7 del texto refundido de la Ley reguladora de las Haciendas Locales, los notarios estarán obligados a remitir al Ayuntamiento, dentro de la primera quincena de cada trimestre, relación o índice comprensivo de todos los documentos por ellos autorizados en el trimestre anterior, en los que se contengan hechos, actos o negocios jurídicos que pongan de manifiesto la realización del hecho imponible de este impuesto. También estarán obligados a remitir, dentro del mismo plazo, relación de los documentos privados comprensivos de los mismos hechos, actos o negocios jurídicos, que les hayan sido presentados para conocimiento o legitimación de firmas. Lo prevenido en este apartado se entiende sin perjuicio del deber general de colaboración establecido en la Ley General Tributaria. </w:t>
      </w:r>
    </w:p>
    <w:p w14:paraId="29B80094" w14:textId="77777777" w:rsidR="00A525B1" w:rsidRPr="005F0531" w:rsidRDefault="00A525B1" w:rsidP="00A5062B">
      <w:pPr>
        <w:rPr>
          <w:rFonts w:ascii="Rubik Light" w:hAnsi="Rubik Light" w:cs="Rubik Light"/>
          <w:color w:val="FF0000"/>
          <w:sz w:val="22"/>
          <w:szCs w:val="22"/>
        </w:rPr>
      </w:pPr>
    </w:p>
    <w:p w14:paraId="039C90A6" w14:textId="77777777" w:rsidR="00BC699E" w:rsidRDefault="00BC699E" w:rsidP="00A5062B">
      <w:pPr>
        <w:jc w:val="center"/>
        <w:rPr>
          <w:rFonts w:ascii="Rubik Light" w:hAnsi="Rubik Light" w:cs="Rubik Light"/>
          <w:b/>
          <w:sz w:val="22"/>
          <w:szCs w:val="22"/>
        </w:rPr>
      </w:pPr>
    </w:p>
    <w:p w14:paraId="12FAF301" w14:textId="2F5C5102"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Sección 2ª. Liquidación del impuesto</w:t>
      </w:r>
    </w:p>
    <w:p w14:paraId="4F8C34A4"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Artículo 21. </w:t>
      </w:r>
    </w:p>
    <w:p w14:paraId="50CC51DE" w14:textId="44C71A40"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A la vista de la declaración presentada, el </w:t>
      </w:r>
      <w:r w:rsidRPr="005F0531">
        <w:rPr>
          <w:rFonts w:ascii="Rubik Light" w:hAnsi="Rubik Light" w:cs="Rubik Light"/>
          <w:color w:val="auto"/>
          <w:sz w:val="22"/>
          <w:szCs w:val="22"/>
        </w:rPr>
        <w:t xml:space="preserve">Ayuntamiento </w:t>
      </w:r>
      <w:r w:rsidRPr="005F0531">
        <w:rPr>
          <w:rFonts w:ascii="Rubik Light" w:hAnsi="Rubik Light" w:cs="Rubik Light"/>
          <w:sz w:val="22"/>
          <w:szCs w:val="22"/>
        </w:rPr>
        <w:t>podrá dictar la liquidación provisional que proceda, de conformidad con lo dispuesto en el artículo 101.1 de la ley 58/2003, General Tributaria. Las liquidaciones se notificarán íntegramente a los sujetos pasivos con indicación del plazo de ingreso y expresión de los recursos procedentes</w:t>
      </w:r>
      <w:r w:rsidRPr="005F0531">
        <w:rPr>
          <w:rFonts w:ascii="Rubik Light" w:hAnsi="Rubik Light" w:cs="Rubik Light"/>
          <w:color w:val="000000"/>
          <w:sz w:val="22"/>
          <w:szCs w:val="22"/>
        </w:rPr>
        <w:t xml:space="preserve"> </w:t>
      </w:r>
      <w:r w:rsidRPr="005F0531">
        <w:rPr>
          <w:rFonts w:ascii="Rubik Light" w:hAnsi="Rubik Light" w:cs="Rubik Light"/>
          <w:sz w:val="22"/>
          <w:szCs w:val="22"/>
        </w:rPr>
        <w:t xml:space="preserve">y demás requisitos legales y reglamentarios. </w:t>
      </w:r>
    </w:p>
    <w:p w14:paraId="496D86C4"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 xml:space="preserve">A efectos de lo previsto en el presente apartado, la Administración tributaria podrá utilizar los datos consignados por el obligado tributario en su declaración o cualquier otro que obre en su poder, podrá requerir al obligado para que aclare los datos consignados en su declaración o presente justificante de </w:t>
      </w:r>
      <w:proofErr w:type="gramStart"/>
      <w:r w:rsidRPr="005F0531">
        <w:rPr>
          <w:rFonts w:ascii="Rubik Light" w:hAnsi="Rubik Light" w:cs="Rubik Light"/>
          <w:color w:val="auto"/>
          <w:sz w:val="22"/>
          <w:szCs w:val="22"/>
        </w:rPr>
        <w:t>los mismos</w:t>
      </w:r>
      <w:proofErr w:type="gramEnd"/>
      <w:r w:rsidRPr="005F0531">
        <w:rPr>
          <w:rFonts w:ascii="Rubik Light" w:hAnsi="Rubik Light" w:cs="Rubik Light"/>
          <w:color w:val="auto"/>
          <w:sz w:val="22"/>
          <w:szCs w:val="22"/>
        </w:rPr>
        <w:t xml:space="preserve"> y podrá realizar actuaciones de comprobación de valores. </w:t>
      </w:r>
    </w:p>
    <w:p w14:paraId="09D7F43C" w14:textId="66A6598F"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 xml:space="preserve">Cuando se hayan realizado actuaciones de acuerdo con lo dispuesto en el párrafo anterior y los datos o valores tenidos en cuenta por la Administración tributaria no se correspondan con los consignados por el obligado en su declaración, deberá hacerse mención expresa de esta circunstancia en la propuesta de liquidación, que deberá notificarse, con una referencia sucinta a los hechos y fundamentos de derecho que la motiven, para que el obligado tributario alegue lo que </w:t>
      </w:r>
      <w:r w:rsidR="00DB72DE" w:rsidRPr="005F0531">
        <w:rPr>
          <w:rFonts w:ascii="Rubik Light" w:hAnsi="Rubik Light" w:cs="Rubik Light"/>
          <w:color w:val="auto"/>
          <w:sz w:val="22"/>
          <w:szCs w:val="22"/>
        </w:rPr>
        <w:t xml:space="preserve">a su derecho </w:t>
      </w:r>
      <w:r w:rsidRPr="005F0531">
        <w:rPr>
          <w:rFonts w:ascii="Rubik Light" w:hAnsi="Rubik Light" w:cs="Rubik Light"/>
          <w:color w:val="auto"/>
          <w:sz w:val="22"/>
          <w:szCs w:val="22"/>
        </w:rPr>
        <w:t>convenga</w:t>
      </w:r>
      <w:r w:rsidR="00DB72DE" w:rsidRPr="005F0531">
        <w:rPr>
          <w:rFonts w:ascii="Rubik Light" w:hAnsi="Rubik Light" w:cs="Rubik Light"/>
          <w:color w:val="auto"/>
          <w:sz w:val="22"/>
          <w:szCs w:val="22"/>
        </w:rPr>
        <w:t>.</w:t>
      </w:r>
      <w:r w:rsidRPr="005F0531">
        <w:rPr>
          <w:rFonts w:ascii="Rubik Light" w:hAnsi="Rubik Light" w:cs="Rubik Light"/>
          <w:color w:val="auto"/>
          <w:sz w:val="22"/>
          <w:szCs w:val="22"/>
        </w:rPr>
        <w:t xml:space="preserve"> </w:t>
      </w:r>
    </w:p>
    <w:p w14:paraId="662B54FC" w14:textId="77777777" w:rsidR="00BC699E" w:rsidRDefault="00BC699E" w:rsidP="0001308A">
      <w:pPr>
        <w:spacing w:after="2"/>
        <w:jc w:val="center"/>
        <w:rPr>
          <w:rFonts w:ascii="Rubik Light" w:hAnsi="Rubik Light" w:cs="Rubik Light"/>
          <w:b/>
          <w:color w:val="auto"/>
          <w:sz w:val="22"/>
          <w:szCs w:val="22"/>
        </w:rPr>
      </w:pPr>
    </w:p>
    <w:p w14:paraId="16C69EE4" w14:textId="2865D865" w:rsidR="0001308A" w:rsidRPr="005F0531" w:rsidRDefault="0001308A" w:rsidP="0001308A">
      <w:pPr>
        <w:spacing w:after="2"/>
        <w:jc w:val="center"/>
        <w:rPr>
          <w:rFonts w:ascii="Rubik Light" w:hAnsi="Rubik Light" w:cs="Rubik Light"/>
          <w:b/>
          <w:color w:val="auto"/>
          <w:sz w:val="22"/>
          <w:szCs w:val="22"/>
        </w:rPr>
      </w:pPr>
      <w:r w:rsidRPr="005F0531">
        <w:rPr>
          <w:rFonts w:ascii="Rubik Light" w:hAnsi="Rubik Light" w:cs="Rubik Light"/>
          <w:b/>
          <w:color w:val="auto"/>
          <w:sz w:val="22"/>
          <w:szCs w:val="22"/>
        </w:rPr>
        <w:t>Sección 3ª. Colaboración y cooperación interadministrativa</w:t>
      </w:r>
    </w:p>
    <w:p w14:paraId="790C1608" w14:textId="77777777" w:rsidR="0001308A" w:rsidRPr="005F0531" w:rsidRDefault="0001308A" w:rsidP="0001308A">
      <w:pPr>
        <w:spacing w:after="2"/>
        <w:jc w:val="center"/>
        <w:rPr>
          <w:rFonts w:ascii="Rubik Light" w:hAnsi="Rubik Light" w:cs="Rubik Light"/>
          <w:color w:val="auto"/>
          <w:sz w:val="22"/>
          <w:szCs w:val="22"/>
        </w:rPr>
      </w:pPr>
    </w:p>
    <w:p w14:paraId="414297ED" w14:textId="2546DCCC" w:rsidR="00DB72DE" w:rsidRPr="00BC699E" w:rsidRDefault="00DB72DE" w:rsidP="00DB72DE">
      <w:pPr>
        <w:rPr>
          <w:rFonts w:ascii="Rubik Light" w:hAnsi="Rubik Light" w:cs="Rubik Light"/>
          <w:bCs/>
          <w:color w:val="auto"/>
          <w:sz w:val="22"/>
          <w:szCs w:val="22"/>
        </w:rPr>
      </w:pPr>
      <w:r w:rsidRPr="00BC699E">
        <w:rPr>
          <w:rFonts w:ascii="Rubik Light" w:hAnsi="Rubik Light" w:cs="Rubik Light"/>
          <w:bCs/>
          <w:color w:val="auto"/>
          <w:sz w:val="22"/>
          <w:szCs w:val="22"/>
        </w:rPr>
        <w:lastRenderedPageBreak/>
        <w:t xml:space="preserve">Artículo 22.   </w:t>
      </w:r>
    </w:p>
    <w:p w14:paraId="3CC14BE8" w14:textId="561F2F55" w:rsidR="00A525B1" w:rsidRPr="005F0531" w:rsidRDefault="00DB72DE" w:rsidP="00DB72DE">
      <w:pPr>
        <w:rPr>
          <w:rFonts w:ascii="Rubik Light" w:hAnsi="Rubik Light" w:cs="Rubik Light"/>
          <w:bCs/>
          <w:color w:val="auto"/>
          <w:sz w:val="22"/>
          <w:szCs w:val="22"/>
        </w:rPr>
      </w:pPr>
      <w:r w:rsidRPr="005F0531">
        <w:rPr>
          <w:rFonts w:ascii="Rubik Light" w:hAnsi="Rubik Light" w:cs="Rubik Light"/>
          <w:bCs/>
          <w:color w:val="auto"/>
          <w:sz w:val="22"/>
          <w:szCs w:val="22"/>
        </w:rPr>
        <w:t>A los efectos de la aplicación del impuesto, en particular en relación con el supuesto de no sujeción por inexistencia de incremento de valor, así como para la determinación de la base imponible mediante el método de estimación directa, podrá suscribirse el correspondiente convenio de intercambio de información tributaria y de colaboración con la Administraci</w:t>
      </w:r>
      <w:r w:rsidR="0001308A" w:rsidRPr="005F0531">
        <w:rPr>
          <w:rFonts w:ascii="Rubik Light" w:hAnsi="Rubik Light" w:cs="Rubik Light"/>
          <w:bCs/>
          <w:color w:val="auto"/>
          <w:sz w:val="22"/>
          <w:szCs w:val="22"/>
        </w:rPr>
        <w:t>ón</w:t>
      </w:r>
      <w:r w:rsidRPr="005F0531">
        <w:rPr>
          <w:rFonts w:ascii="Rubik Light" w:hAnsi="Rubik Light" w:cs="Rubik Light"/>
          <w:bCs/>
          <w:color w:val="auto"/>
          <w:sz w:val="22"/>
          <w:szCs w:val="22"/>
        </w:rPr>
        <w:t xml:space="preserve"> tributaria autonómica.</w:t>
      </w:r>
    </w:p>
    <w:p w14:paraId="61478BC4" w14:textId="77777777" w:rsidR="00DB72DE" w:rsidRPr="005F0531" w:rsidRDefault="00DB72DE" w:rsidP="00A5062B">
      <w:pPr>
        <w:spacing w:after="2"/>
        <w:jc w:val="center"/>
        <w:rPr>
          <w:rFonts w:ascii="Rubik Light" w:hAnsi="Rubik Light" w:cs="Rubik Light"/>
          <w:b/>
          <w:color w:val="auto"/>
          <w:sz w:val="22"/>
          <w:szCs w:val="22"/>
        </w:rPr>
      </w:pPr>
    </w:p>
    <w:p w14:paraId="27723AFA" w14:textId="77777777" w:rsidR="00DB72DE" w:rsidRPr="005F0531" w:rsidRDefault="00DB72DE" w:rsidP="00A5062B">
      <w:pPr>
        <w:spacing w:after="2"/>
        <w:jc w:val="center"/>
        <w:rPr>
          <w:rFonts w:ascii="Rubik Light" w:hAnsi="Rubik Light" w:cs="Rubik Light"/>
          <w:b/>
          <w:color w:val="auto"/>
          <w:sz w:val="22"/>
          <w:szCs w:val="22"/>
        </w:rPr>
      </w:pPr>
    </w:p>
    <w:p w14:paraId="5E89E044" w14:textId="6D051FA4" w:rsidR="00A525B1" w:rsidRPr="005F0531" w:rsidRDefault="00A525B1" w:rsidP="00A5062B">
      <w:pPr>
        <w:spacing w:after="2"/>
        <w:jc w:val="center"/>
        <w:rPr>
          <w:rFonts w:ascii="Rubik Light" w:hAnsi="Rubik Light" w:cs="Rubik Light"/>
          <w:b/>
          <w:color w:val="auto"/>
          <w:sz w:val="22"/>
          <w:szCs w:val="22"/>
        </w:rPr>
      </w:pPr>
      <w:r w:rsidRPr="005F0531">
        <w:rPr>
          <w:rFonts w:ascii="Rubik Light" w:hAnsi="Rubik Light" w:cs="Rubik Light"/>
          <w:b/>
          <w:color w:val="auto"/>
          <w:sz w:val="22"/>
          <w:szCs w:val="22"/>
        </w:rPr>
        <w:t xml:space="preserve">Sección </w:t>
      </w:r>
      <w:r w:rsidR="0001308A" w:rsidRPr="005F0531">
        <w:rPr>
          <w:rFonts w:ascii="Rubik Light" w:hAnsi="Rubik Light" w:cs="Rubik Light"/>
          <w:b/>
          <w:color w:val="auto"/>
          <w:sz w:val="22"/>
          <w:szCs w:val="22"/>
        </w:rPr>
        <w:t>4</w:t>
      </w:r>
      <w:r w:rsidRPr="005F0531">
        <w:rPr>
          <w:rFonts w:ascii="Rubik Light" w:hAnsi="Rubik Light" w:cs="Rubik Light"/>
          <w:b/>
          <w:color w:val="auto"/>
          <w:sz w:val="22"/>
          <w:szCs w:val="22"/>
        </w:rPr>
        <w:t>ª. Recaudación</w:t>
      </w:r>
    </w:p>
    <w:p w14:paraId="6A6D7A80" w14:textId="77777777" w:rsidR="00A525B1" w:rsidRPr="005F0531" w:rsidRDefault="00A525B1" w:rsidP="00A5062B">
      <w:pPr>
        <w:spacing w:after="2"/>
        <w:rPr>
          <w:rFonts w:ascii="Rubik Light" w:hAnsi="Rubik Light" w:cs="Rubik Light"/>
          <w:b/>
          <w:color w:val="auto"/>
          <w:sz w:val="22"/>
          <w:szCs w:val="22"/>
        </w:rPr>
      </w:pPr>
    </w:p>
    <w:p w14:paraId="05016CA0" w14:textId="43001677"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Artículo 2</w:t>
      </w:r>
      <w:r w:rsidR="00DB72DE" w:rsidRPr="005F0531">
        <w:rPr>
          <w:rFonts w:ascii="Rubik Light" w:hAnsi="Rubik Light" w:cs="Rubik Light"/>
          <w:color w:val="auto"/>
          <w:sz w:val="22"/>
          <w:szCs w:val="22"/>
        </w:rPr>
        <w:t>3</w:t>
      </w:r>
      <w:r w:rsidRPr="005F0531">
        <w:rPr>
          <w:rFonts w:ascii="Rubik Light" w:hAnsi="Rubik Light" w:cs="Rubik Light"/>
          <w:color w:val="auto"/>
          <w:sz w:val="22"/>
          <w:szCs w:val="22"/>
        </w:rPr>
        <w:t>.</w:t>
      </w:r>
    </w:p>
    <w:p w14:paraId="22B0EDB9" w14:textId="531040BD"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La recaudación de este impuesto se realizará de acuerdo con lo previsto en la Ley General Tributaria, el Reglamento General de Recaudación y en las demás Leyes del Estado regulador</w:t>
      </w:r>
      <w:r w:rsidR="00FB72C8" w:rsidRPr="005F0531">
        <w:rPr>
          <w:rFonts w:ascii="Rubik Light" w:hAnsi="Rubik Light" w:cs="Rubik Light"/>
          <w:color w:val="auto"/>
          <w:sz w:val="22"/>
          <w:szCs w:val="22"/>
        </w:rPr>
        <w:t>a</w:t>
      </w:r>
      <w:r w:rsidRPr="005F0531">
        <w:rPr>
          <w:rFonts w:ascii="Rubik Light" w:hAnsi="Rubik Light" w:cs="Rubik Light"/>
          <w:color w:val="auto"/>
          <w:sz w:val="22"/>
          <w:szCs w:val="22"/>
        </w:rPr>
        <w:t xml:space="preserve">s de la materia, así como en las disposiciones dictadas para su desarrollo. </w:t>
      </w:r>
    </w:p>
    <w:p w14:paraId="789CA380" w14:textId="77777777" w:rsidR="00A525B1" w:rsidRPr="005F0531" w:rsidRDefault="00A525B1" w:rsidP="00A5062B">
      <w:pPr>
        <w:jc w:val="center"/>
        <w:rPr>
          <w:rFonts w:ascii="Rubik Light" w:hAnsi="Rubik Light" w:cs="Rubik Light"/>
          <w:b/>
          <w:color w:val="auto"/>
          <w:sz w:val="22"/>
          <w:szCs w:val="22"/>
        </w:rPr>
      </w:pPr>
    </w:p>
    <w:p w14:paraId="2C3968C7" w14:textId="77777777" w:rsidR="00A525B1" w:rsidRPr="005F0531" w:rsidRDefault="00A525B1" w:rsidP="00A5062B">
      <w:pPr>
        <w:jc w:val="center"/>
        <w:rPr>
          <w:rFonts w:ascii="Rubik Light" w:hAnsi="Rubik Light" w:cs="Rubik Light"/>
          <w:b/>
          <w:sz w:val="22"/>
          <w:szCs w:val="22"/>
        </w:rPr>
      </w:pPr>
    </w:p>
    <w:p w14:paraId="317556C3" w14:textId="0BD3BC45"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 xml:space="preserve">Sección </w:t>
      </w:r>
      <w:r w:rsidR="0001308A" w:rsidRPr="005F0531">
        <w:rPr>
          <w:rFonts w:ascii="Rubik Light" w:hAnsi="Rubik Light" w:cs="Rubik Light"/>
          <w:b/>
          <w:sz w:val="22"/>
          <w:szCs w:val="22"/>
        </w:rPr>
        <w:t>5</w:t>
      </w:r>
      <w:r w:rsidRPr="005F0531">
        <w:rPr>
          <w:rFonts w:ascii="Rubik Light" w:hAnsi="Rubik Light" w:cs="Rubik Light"/>
          <w:b/>
          <w:sz w:val="22"/>
          <w:szCs w:val="22"/>
        </w:rPr>
        <w:t>ª Infracciones y sanciones</w:t>
      </w:r>
    </w:p>
    <w:p w14:paraId="7D8E40B7" w14:textId="1819C1BD"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 Artículo 2</w:t>
      </w:r>
      <w:r w:rsidR="00DB72DE" w:rsidRPr="005F0531">
        <w:rPr>
          <w:rFonts w:ascii="Rubik Light" w:hAnsi="Rubik Light" w:cs="Rubik Light"/>
          <w:sz w:val="22"/>
          <w:szCs w:val="22"/>
        </w:rPr>
        <w:t>4</w:t>
      </w:r>
      <w:r w:rsidRPr="005F0531">
        <w:rPr>
          <w:rFonts w:ascii="Rubik Light" w:hAnsi="Rubik Light" w:cs="Rubik Light"/>
          <w:sz w:val="22"/>
          <w:szCs w:val="22"/>
        </w:rPr>
        <w:t xml:space="preserve">. </w:t>
      </w:r>
    </w:p>
    <w:p w14:paraId="5555B06E"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 xml:space="preserve">1. En todo lo relativo a la calificación de las infracciones tributarias así como a la determinación de las sanciones que por las mismas correspondan en cada caso, se aplicará el régimen regulado en la Ley 58/2003, de 17 de diciembre, General Tributaria, disposiciones que la complementen y desarrollen, y en la Ordenanza Fiscal General de Gestión, Recaudación e Inspección. </w:t>
      </w:r>
    </w:p>
    <w:p w14:paraId="535E40DB"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color w:val="auto"/>
          <w:sz w:val="22"/>
          <w:szCs w:val="22"/>
        </w:rPr>
        <w:t>2. En particular, se considerará infracción tributaria simple, de acuerdo con lo previsto en el art. 198 de la Ley General Tributaria, la no presentación en plazo de la declaración tributaria, en los casos de no sujeción por razón de inexistencia de incremento de valor.</w:t>
      </w:r>
    </w:p>
    <w:p w14:paraId="61EAE3AE" w14:textId="77777777" w:rsidR="00A525B1" w:rsidRPr="005F0531" w:rsidRDefault="00A525B1" w:rsidP="00A5062B">
      <w:pPr>
        <w:rPr>
          <w:rFonts w:ascii="Rubik Light" w:hAnsi="Rubik Light" w:cs="Rubik Light"/>
          <w:color w:val="auto"/>
          <w:sz w:val="22"/>
          <w:szCs w:val="22"/>
        </w:rPr>
      </w:pPr>
    </w:p>
    <w:p w14:paraId="0B2D670D" w14:textId="77777777" w:rsidR="00A525B1" w:rsidRPr="005F0531" w:rsidRDefault="00A525B1" w:rsidP="00A5062B">
      <w:pPr>
        <w:rPr>
          <w:rFonts w:ascii="Rubik Light" w:hAnsi="Rubik Light" w:cs="Rubik Light"/>
          <w:color w:val="auto"/>
          <w:sz w:val="22"/>
          <w:szCs w:val="22"/>
        </w:rPr>
      </w:pPr>
    </w:p>
    <w:p w14:paraId="67D71338" w14:textId="3BD07223"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 xml:space="preserve">Sección </w:t>
      </w:r>
      <w:r w:rsidR="0001308A" w:rsidRPr="005F0531">
        <w:rPr>
          <w:rFonts w:ascii="Rubik Light" w:hAnsi="Rubik Light" w:cs="Rubik Light"/>
          <w:b/>
          <w:sz w:val="22"/>
          <w:szCs w:val="22"/>
        </w:rPr>
        <w:t>6</w:t>
      </w:r>
      <w:r w:rsidRPr="005F0531">
        <w:rPr>
          <w:rFonts w:ascii="Rubik Light" w:hAnsi="Rubik Light" w:cs="Rubik Light"/>
          <w:b/>
          <w:sz w:val="22"/>
          <w:szCs w:val="22"/>
        </w:rPr>
        <w:t>ª Inscripción de la transmisión en el Registro de la Propiedad</w:t>
      </w:r>
    </w:p>
    <w:p w14:paraId="41093FB5" w14:textId="02E295BB"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Artículo 2</w:t>
      </w:r>
      <w:r w:rsidR="00DB72DE" w:rsidRPr="005F0531">
        <w:rPr>
          <w:rFonts w:ascii="Rubik Light" w:hAnsi="Rubik Light" w:cs="Rubik Light"/>
          <w:sz w:val="22"/>
          <w:szCs w:val="22"/>
        </w:rPr>
        <w:t>5</w:t>
      </w:r>
      <w:r w:rsidRPr="005F0531">
        <w:rPr>
          <w:rFonts w:ascii="Rubik Light" w:hAnsi="Rubik Light" w:cs="Rubik Light"/>
          <w:sz w:val="22"/>
          <w:szCs w:val="22"/>
        </w:rPr>
        <w:t>.</w:t>
      </w:r>
    </w:p>
    <w:p w14:paraId="1ADDDFF8"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Será requisito previo a la inscripción en el Registro de la Propiedad de los hechos, actos o negocios jurídicos, la presentación de la correspondiente declaración del impuesto a que se refieren la presente ordenanza, de conformidad con el artículo 254.5 de la Ley Hipotecaria, texto refundido según decreto de 8 de febrero de 1946.</w:t>
      </w:r>
    </w:p>
    <w:p w14:paraId="4CE5DF12" w14:textId="77777777" w:rsidR="00A525B1" w:rsidRPr="005F0531" w:rsidRDefault="00A525B1" w:rsidP="00A5062B">
      <w:pPr>
        <w:rPr>
          <w:rFonts w:ascii="Rubik Light" w:hAnsi="Rubik Light" w:cs="Rubik Light"/>
          <w:sz w:val="22"/>
          <w:szCs w:val="22"/>
        </w:rPr>
      </w:pPr>
    </w:p>
    <w:p w14:paraId="29AB954D" w14:textId="77777777" w:rsidR="00A525B1" w:rsidRPr="005F0531" w:rsidRDefault="00A525B1" w:rsidP="00A5062B">
      <w:pPr>
        <w:jc w:val="center"/>
        <w:rPr>
          <w:rFonts w:ascii="Rubik Light" w:hAnsi="Rubik Light" w:cs="Rubik Light"/>
          <w:b/>
          <w:sz w:val="22"/>
          <w:szCs w:val="22"/>
        </w:rPr>
      </w:pPr>
      <w:r w:rsidRPr="005F0531">
        <w:rPr>
          <w:rFonts w:ascii="Rubik Light" w:hAnsi="Rubik Light" w:cs="Rubik Light"/>
          <w:b/>
          <w:sz w:val="22"/>
          <w:szCs w:val="22"/>
        </w:rPr>
        <w:t>Sección 6º Declaraciones catastrales</w:t>
      </w:r>
    </w:p>
    <w:p w14:paraId="368B63B2" w14:textId="77777777" w:rsidR="00A525B1" w:rsidRPr="005F0531" w:rsidRDefault="00A525B1" w:rsidP="00A5062B">
      <w:pPr>
        <w:rPr>
          <w:rFonts w:ascii="Rubik Light" w:hAnsi="Rubik Light" w:cs="Rubik Light"/>
          <w:sz w:val="22"/>
          <w:szCs w:val="22"/>
        </w:rPr>
      </w:pPr>
    </w:p>
    <w:p w14:paraId="1C7C6A66" w14:textId="77777777" w:rsidR="00A525B1" w:rsidRPr="005F0531" w:rsidRDefault="00A525B1" w:rsidP="00A5062B">
      <w:pPr>
        <w:rPr>
          <w:rFonts w:ascii="Rubik Light" w:hAnsi="Rubik Light" w:cs="Rubik Light"/>
          <w:color w:val="auto"/>
          <w:sz w:val="22"/>
          <w:szCs w:val="22"/>
        </w:rPr>
      </w:pPr>
      <w:r w:rsidRPr="005F0531">
        <w:rPr>
          <w:rFonts w:ascii="Rubik Light" w:hAnsi="Rubik Light" w:cs="Rubik Light"/>
          <w:sz w:val="22"/>
          <w:szCs w:val="22"/>
        </w:rPr>
        <w:t>Artículo 25.</w:t>
      </w:r>
    </w:p>
    <w:p w14:paraId="6C56DA0A"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lastRenderedPageBreak/>
        <w:t>De conformidad con lo previsto en el art. 28.3 del Real Decreto 417/2006, de 7 de abril, por el que se desarrolla el texto refundido de la Ley del Catastro Inmobiliario, y con el artículo 5º de la Orden HAC/1293/2018, de 19 de noviembre, las declaraciones presentadas por el Impuesto sobre el Incremento de Valor de los Terrenos de Naturaleza Urbana podrán ser utilizadas como medio de presentación de las declaraciones catastrales por alteración de la titularidad así como por variación de la cuota de participación en bienes inmuebles, siempre que consten identificados el adquirente y el transmitente, el inmueble objeto de la transmisión, con su referencia catastral, y se haya aportado la siguiente documentación:</w:t>
      </w:r>
    </w:p>
    <w:p w14:paraId="5AF7939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a) Original y fotocopia o copia cotejada, del documento que acredite la alteración, ya sea escritura pública, documento privado, sentencia judicial, certificación del Registro de la Propiedad, u otros.</w:t>
      </w:r>
    </w:p>
    <w:p w14:paraId="66E4E4BC"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b) En aquellos supuestos en que la adquisición del bien o derecho se hubiere realizado en común por los cónyuges, siempre que el documento en el que se formalice la alteración no acredite la existencia del matrimonio, se aportará, además, original y fotocopia, o copia cotejada, del Libro de Familia o cualquier documento que acredite tal condición.</w:t>
      </w:r>
    </w:p>
    <w:p w14:paraId="7627EFF0"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c) Si se constituye un derecho de superficie o una concesión administrativa sobre parte de un bien inmueble, deberá acompañarse también representación gráfica, en la que se refleje la porción de suelo sobre la que recae la concesión administrativa o el derecho de superficie.</w:t>
      </w:r>
    </w:p>
    <w:p w14:paraId="752CBCC0" w14:textId="77777777" w:rsidR="00A525B1" w:rsidRPr="005F0531" w:rsidRDefault="00A525B1" w:rsidP="00A5062B">
      <w:pPr>
        <w:rPr>
          <w:rFonts w:ascii="Rubik Light" w:hAnsi="Rubik Light" w:cs="Rubik Light"/>
          <w:sz w:val="22"/>
          <w:szCs w:val="22"/>
        </w:rPr>
      </w:pPr>
    </w:p>
    <w:p w14:paraId="62A74FAF" w14:textId="77777777" w:rsidR="00BC699E" w:rsidRDefault="00BC699E" w:rsidP="00A5062B">
      <w:pPr>
        <w:rPr>
          <w:rFonts w:ascii="Rubik Light" w:hAnsi="Rubik Light" w:cs="Rubik Light"/>
          <w:b/>
          <w:bCs/>
          <w:sz w:val="22"/>
          <w:szCs w:val="22"/>
        </w:rPr>
      </w:pPr>
    </w:p>
    <w:p w14:paraId="5052079D" w14:textId="27682D87" w:rsidR="00A525B1" w:rsidRPr="005F0531" w:rsidRDefault="00A525B1" w:rsidP="00A5062B">
      <w:pPr>
        <w:rPr>
          <w:rFonts w:ascii="Rubik Light" w:hAnsi="Rubik Light" w:cs="Rubik Light"/>
          <w:b/>
          <w:bCs/>
          <w:sz w:val="22"/>
          <w:szCs w:val="22"/>
        </w:rPr>
      </w:pPr>
      <w:r w:rsidRPr="005F0531">
        <w:rPr>
          <w:rFonts w:ascii="Rubik Light" w:hAnsi="Rubik Light" w:cs="Rubik Light"/>
          <w:b/>
          <w:bCs/>
          <w:sz w:val="22"/>
          <w:szCs w:val="22"/>
        </w:rPr>
        <w:t>DISPOSICIÓN ADICIONAL.</w:t>
      </w:r>
    </w:p>
    <w:p w14:paraId="75FAE13B" w14:textId="77777777" w:rsidR="00A525B1" w:rsidRPr="005F0531" w:rsidRDefault="00A525B1" w:rsidP="00A5062B">
      <w:pPr>
        <w:rPr>
          <w:rFonts w:ascii="Rubik Light" w:hAnsi="Rubik Light" w:cs="Rubik Light"/>
          <w:sz w:val="22"/>
          <w:szCs w:val="22"/>
        </w:rPr>
      </w:pPr>
    </w:p>
    <w:p w14:paraId="349F946A" w14:textId="77777777"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Las modificaciones o actualizaciones producidas por la Ley de Presupuestos Generales del Estado o cualquier otra norma de rango legal que afecten a cualquier elemento del presente impuesto serán de aplicación automática dentro del ámbito de esta Ordenanza.</w:t>
      </w:r>
    </w:p>
    <w:p w14:paraId="690D6346" w14:textId="77777777" w:rsidR="00A525B1" w:rsidRPr="005F0531" w:rsidRDefault="00A525B1" w:rsidP="00A5062B">
      <w:pPr>
        <w:rPr>
          <w:rFonts w:ascii="Rubik Light" w:hAnsi="Rubik Light" w:cs="Rubik Light"/>
          <w:sz w:val="22"/>
          <w:szCs w:val="22"/>
        </w:rPr>
      </w:pPr>
    </w:p>
    <w:p w14:paraId="41A65A2F" w14:textId="77777777" w:rsidR="00A525B1" w:rsidRPr="005F0531" w:rsidRDefault="00A525B1" w:rsidP="00A5062B">
      <w:pPr>
        <w:rPr>
          <w:rFonts w:ascii="Rubik Light" w:hAnsi="Rubik Light" w:cs="Rubik Light"/>
          <w:sz w:val="22"/>
          <w:szCs w:val="22"/>
        </w:rPr>
      </w:pPr>
    </w:p>
    <w:p w14:paraId="25DE8A2D" w14:textId="77777777" w:rsidR="00A525B1" w:rsidRPr="005F0531" w:rsidRDefault="00A525B1" w:rsidP="00A5062B">
      <w:pPr>
        <w:rPr>
          <w:rFonts w:ascii="Rubik Light" w:hAnsi="Rubik Light" w:cs="Rubik Light"/>
          <w:b/>
          <w:sz w:val="22"/>
          <w:szCs w:val="22"/>
        </w:rPr>
      </w:pPr>
      <w:r w:rsidRPr="005F0531">
        <w:rPr>
          <w:rFonts w:ascii="Rubik Light" w:hAnsi="Rubik Light" w:cs="Rubik Light"/>
          <w:b/>
          <w:sz w:val="22"/>
          <w:szCs w:val="22"/>
        </w:rPr>
        <w:t>DISPOSICIÓN FINAL</w:t>
      </w:r>
    </w:p>
    <w:p w14:paraId="6567B6AA" w14:textId="77777777" w:rsidR="00A525B1" w:rsidRPr="005F0531" w:rsidRDefault="00A525B1" w:rsidP="00A5062B">
      <w:pPr>
        <w:rPr>
          <w:rFonts w:ascii="Rubik Light" w:hAnsi="Rubik Light" w:cs="Rubik Light"/>
          <w:sz w:val="22"/>
          <w:szCs w:val="22"/>
        </w:rPr>
      </w:pPr>
    </w:p>
    <w:p w14:paraId="56D77B30" w14:textId="3ACF765C" w:rsidR="00A525B1" w:rsidRPr="005F0531" w:rsidRDefault="00A525B1" w:rsidP="00A5062B">
      <w:pPr>
        <w:rPr>
          <w:rFonts w:ascii="Rubik Light" w:hAnsi="Rubik Light" w:cs="Rubik Light"/>
          <w:sz w:val="22"/>
          <w:szCs w:val="22"/>
        </w:rPr>
      </w:pPr>
      <w:r w:rsidRPr="005F0531">
        <w:rPr>
          <w:rFonts w:ascii="Rubik Light" w:hAnsi="Rubik Light" w:cs="Rubik Light"/>
          <w:sz w:val="22"/>
          <w:szCs w:val="22"/>
        </w:rPr>
        <w:t>La presente Ordenanza Fiscal, una vez aprobada en pleno por este Ayuntamiento, entrará en vigor y comenzará a aplicarse a partir del día _____________, tras su publicación en el Boletín Oficial de la Provincia, permaneciendo en vigor hasta su modificación o derogación expresa.</w:t>
      </w:r>
    </w:p>
    <w:p w14:paraId="239DBBB4" w14:textId="77777777" w:rsidR="00A525B1" w:rsidRPr="005F0531" w:rsidRDefault="00A525B1" w:rsidP="00A5062B">
      <w:pPr>
        <w:rPr>
          <w:rFonts w:ascii="Rubik Light" w:hAnsi="Rubik Light" w:cs="Rubik Light"/>
          <w:sz w:val="22"/>
          <w:szCs w:val="22"/>
        </w:rPr>
      </w:pPr>
    </w:p>
    <w:p w14:paraId="7536A501" w14:textId="77777777" w:rsidR="00A525B1" w:rsidRPr="005F0531" w:rsidRDefault="00A525B1">
      <w:pPr>
        <w:rPr>
          <w:rFonts w:ascii="Rubik Light" w:hAnsi="Rubik Light" w:cs="Rubik Light"/>
          <w:sz w:val="22"/>
          <w:szCs w:val="22"/>
        </w:rPr>
      </w:pPr>
    </w:p>
    <w:sectPr w:rsidR="00A525B1" w:rsidRPr="005F0531" w:rsidSect="00D75715">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E13D" w14:textId="77777777" w:rsidR="00A525B1" w:rsidRDefault="00A525B1" w:rsidP="009E03D9">
      <w:pPr>
        <w:spacing w:after="0"/>
      </w:pPr>
      <w:r>
        <w:separator/>
      </w:r>
    </w:p>
  </w:endnote>
  <w:endnote w:type="continuationSeparator" w:id="0">
    <w:p w14:paraId="741DB212" w14:textId="77777777" w:rsidR="00A525B1" w:rsidRDefault="00A525B1" w:rsidP="009E0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bik Light">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3538" w14:textId="77777777" w:rsidR="00A525B1" w:rsidRDefault="00A525B1" w:rsidP="00742A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D47A9D" w14:textId="77777777" w:rsidR="00A525B1" w:rsidRDefault="00A525B1" w:rsidP="001777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E072" w14:textId="77777777" w:rsidR="00A525B1" w:rsidRDefault="00A525B1" w:rsidP="00742A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0A3E5327" w14:textId="77777777" w:rsidR="00A525B1" w:rsidRDefault="00A525B1" w:rsidP="00177779">
    <w:pPr>
      <w:pStyle w:val="Piedepgina"/>
      <w:ind w:right="360"/>
      <w:jc w:val="right"/>
    </w:pPr>
  </w:p>
  <w:p w14:paraId="1408BB90" w14:textId="77777777" w:rsidR="00A525B1" w:rsidRDefault="00A525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EFAD" w14:textId="77777777" w:rsidR="00A525B1" w:rsidRDefault="00A525B1" w:rsidP="009E03D9">
      <w:pPr>
        <w:spacing w:after="0"/>
      </w:pPr>
      <w:r>
        <w:separator/>
      </w:r>
    </w:p>
  </w:footnote>
  <w:footnote w:type="continuationSeparator" w:id="0">
    <w:p w14:paraId="4B012C1D" w14:textId="77777777" w:rsidR="00A525B1" w:rsidRDefault="00A525B1" w:rsidP="009E03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274"/>
    <w:multiLevelType w:val="hybridMultilevel"/>
    <w:tmpl w:val="3104D7D0"/>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 w15:restartNumberingAfterBreak="0">
    <w:nsid w:val="0C971DC1"/>
    <w:multiLevelType w:val="hybridMultilevel"/>
    <w:tmpl w:val="3E525C0C"/>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0CEF5F51"/>
    <w:multiLevelType w:val="hybridMultilevel"/>
    <w:tmpl w:val="F5A2C79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CF24D70"/>
    <w:multiLevelType w:val="multilevel"/>
    <w:tmpl w:val="B3FEB7DA"/>
    <w:lvl w:ilvl="0">
      <w:start w:val="1"/>
      <w:numFmt w:val="decimal"/>
      <w:lvlText w:val="%1."/>
      <w:lvlJc w:val="left"/>
      <w:pPr>
        <w:ind w:left="360" w:hanging="360"/>
      </w:pPr>
      <w:rPr>
        <w:rFonts w:cs="Times New Roman" w:hint="default"/>
      </w:rPr>
    </w:lvl>
    <w:lvl w:ilvl="1">
      <w:start w:val="1"/>
      <w:numFmt w:val="decimal"/>
      <w:pStyle w:val="Ttulo2"/>
      <w:isLgl/>
      <w:lvlText w:val="%1.%2"/>
      <w:lvlJc w:val="left"/>
      <w:pPr>
        <w:ind w:left="294" w:hanging="720"/>
      </w:pPr>
      <w:rPr>
        <w:rFonts w:cs="Times New Roman" w:hint="default"/>
      </w:rPr>
    </w:lvl>
    <w:lvl w:ilvl="2">
      <w:start w:val="1"/>
      <w:numFmt w:val="decimal"/>
      <w:pStyle w:val="Ttulo3"/>
      <w:isLgl/>
      <w:lvlText w:val="%1.%2.%3"/>
      <w:lvlJc w:val="left"/>
      <w:pPr>
        <w:ind w:left="512" w:hanging="1080"/>
      </w:pPr>
      <w:rPr>
        <w:rFonts w:cs="Times New Roman" w:hint="default"/>
      </w:rPr>
    </w:lvl>
    <w:lvl w:ilvl="3">
      <w:start w:val="1"/>
      <w:numFmt w:val="decimal"/>
      <w:isLgl/>
      <w:lvlText w:val="%1.%2.%3.%4"/>
      <w:lvlJc w:val="left"/>
      <w:pPr>
        <w:ind w:left="872" w:hanging="1440"/>
      </w:pPr>
      <w:rPr>
        <w:rFonts w:cs="Times New Roman" w:hint="default"/>
      </w:rPr>
    </w:lvl>
    <w:lvl w:ilvl="4">
      <w:start w:val="1"/>
      <w:numFmt w:val="decimal"/>
      <w:isLgl/>
      <w:lvlText w:val="%1.%2.%3.%4.%5"/>
      <w:lvlJc w:val="left"/>
      <w:pPr>
        <w:ind w:left="872" w:hanging="1440"/>
      </w:pPr>
      <w:rPr>
        <w:rFonts w:cs="Times New Roman" w:hint="default"/>
      </w:rPr>
    </w:lvl>
    <w:lvl w:ilvl="5">
      <w:start w:val="1"/>
      <w:numFmt w:val="decimal"/>
      <w:isLgl/>
      <w:lvlText w:val="%1.%2.%3.%4.%5.%6"/>
      <w:lvlJc w:val="left"/>
      <w:pPr>
        <w:ind w:left="1232" w:hanging="1800"/>
      </w:pPr>
      <w:rPr>
        <w:rFonts w:cs="Times New Roman" w:hint="default"/>
      </w:rPr>
    </w:lvl>
    <w:lvl w:ilvl="6">
      <w:start w:val="1"/>
      <w:numFmt w:val="decimal"/>
      <w:isLgl/>
      <w:lvlText w:val="%1.%2.%3.%4.%5.%6.%7"/>
      <w:lvlJc w:val="left"/>
      <w:pPr>
        <w:ind w:left="1592" w:hanging="2160"/>
      </w:pPr>
      <w:rPr>
        <w:rFonts w:cs="Times New Roman" w:hint="default"/>
      </w:rPr>
    </w:lvl>
    <w:lvl w:ilvl="7">
      <w:start w:val="1"/>
      <w:numFmt w:val="decimal"/>
      <w:isLgl/>
      <w:lvlText w:val="%1.%2.%3.%4.%5.%6.%7.%8"/>
      <w:lvlJc w:val="left"/>
      <w:pPr>
        <w:ind w:left="1952" w:hanging="2520"/>
      </w:pPr>
      <w:rPr>
        <w:rFonts w:cs="Times New Roman" w:hint="default"/>
      </w:rPr>
    </w:lvl>
    <w:lvl w:ilvl="8">
      <w:start w:val="1"/>
      <w:numFmt w:val="decimal"/>
      <w:isLgl/>
      <w:lvlText w:val="%1.%2.%3.%4.%5.%6.%7.%8.%9"/>
      <w:lvlJc w:val="left"/>
      <w:pPr>
        <w:ind w:left="2312" w:hanging="2880"/>
      </w:pPr>
      <w:rPr>
        <w:rFonts w:cs="Times New Roman" w:hint="default"/>
      </w:rPr>
    </w:lvl>
  </w:abstractNum>
  <w:abstractNum w:abstractNumId="4" w15:restartNumberingAfterBreak="0">
    <w:nsid w:val="1DDE0971"/>
    <w:multiLevelType w:val="hybridMultilevel"/>
    <w:tmpl w:val="C3FAFB9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52D465A9"/>
    <w:multiLevelType w:val="hybridMultilevel"/>
    <w:tmpl w:val="935007C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6B7B0D2D"/>
    <w:multiLevelType w:val="hybridMultilevel"/>
    <w:tmpl w:val="70A03DF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1627420275">
    <w:abstractNumId w:val="3"/>
  </w:num>
  <w:num w:numId="2" w16cid:durableId="1625036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174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235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26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4534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88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5C"/>
    <w:rsid w:val="0001308A"/>
    <w:rsid w:val="000530F0"/>
    <w:rsid w:val="00070CF5"/>
    <w:rsid w:val="00081380"/>
    <w:rsid w:val="001301D1"/>
    <w:rsid w:val="00136AF8"/>
    <w:rsid w:val="00177779"/>
    <w:rsid w:val="002045F1"/>
    <w:rsid w:val="00236A28"/>
    <w:rsid w:val="00257FDE"/>
    <w:rsid w:val="002B3417"/>
    <w:rsid w:val="002D5CB4"/>
    <w:rsid w:val="00311D96"/>
    <w:rsid w:val="00395B30"/>
    <w:rsid w:val="003B3EEF"/>
    <w:rsid w:val="0041355C"/>
    <w:rsid w:val="004600CF"/>
    <w:rsid w:val="004A3025"/>
    <w:rsid w:val="004C204D"/>
    <w:rsid w:val="004F7B42"/>
    <w:rsid w:val="005A29D0"/>
    <w:rsid w:val="005F0531"/>
    <w:rsid w:val="006929E8"/>
    <w:rsid w:val="00742948"/>
    <w:rsid w:val="00742A02"/>
    <w:rsid w:val="00752EDB"/>
    <w:rsid w:val="00775EAA"/>
    <w:rsid w:val="00787BA5"/>
    <w:rsid w:val="007C7FC0"/>
    <w:rsid w:val="007E1EB5"/>
    <w:rsid w:val="00812882"/>
    <w:rsid w:val="008151CE"/>
    <w:rsid w:val="0083109E"/>
    <w:rsid w:val="00844858"/>
    <w:rsid w:val="008A0179"/>
    <w:rsid w:val="009C0325"/>
    <w:rsid w:val="009C0F5C"/>
    <w:rsid w:val="009E03D9"/>
    <w:rsid w:val="00A1410A"/>
    <w:rsid w:val="00A43B7E"/>
    <w:rsid w:val="00A5062B"/>
    <w:rsid w:val="00A525B1"/>
    <w:rsid w:val="00A83FF5"/>
    <w:rsid w:val="00A907B1"/>
    <w:rsid w:val="00AD08B4"/>
    <w:rsid w:val="00AF63EC"/>
    <w:rsid w:val="00B1209F"/>
    <w:rsid w:val="00B31479"/>
    <w:rsid w:val="00BC699E"/>
    <w:rsid w:val="00C5381D"/>
    <w:rsid w:val="00C55AB0"/>
    <w:rsid w:val="00C60E96"/>
    <w:rsid w:val="00C62B1B"/>
    <w:rsid w:val="00C73AF4"/>
    <w:rsid w:val="00D34E92"/>
    <w:rsid w:val="00D75715"/>
    <w:rsid w:val="00DB72DE"/>
    <w:rsid w:val="00DF78DF"/>
    <w:rsid w:val="00E34061"/>
    <w:rsid w:val="00E47E2A"/>
    <w:rsid w:val="00F73C38"/>
    <w:rsid w:val="00FB615A"/>
    <w:rsid w:val="00FB7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121CA"/>
  <w15:docId w15:val="{D91EBEB6-0A54-497E-AA1A-1C53922E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2B"/>
    <w:pPr>
      <w:spacing w:after="200"/>
      <w:jc w:val="both"/>
    </w:pPr>
    <w:rPr>
      <w:rFonts w:ascii="Arial Nova Cond" w:hAnsi="Arial Nova Cond"/>
      <w:color w:val="262626"/>
      <w:sz w:val="20"/>
      <w:szCs w:val="20"/>
      <w:lang w:eastAsia="en-US"/>
    </w:rPr>
  </w:style>
  <w:style w:type="paragraph" w:styleId="Ttulo1">
    <w:name w:val="heading 1"/>
    <w:aliases w:val="H1,Criteria Type,Criteria Type1,Criteria Type2,Criteria Type3,Criteria Type11,Criteria Type4,Criteria Type5,Criteria Type12,Criteria Type21,Criteria Type31,Criteria Type111,Criteria Type6,Criteria Type13,Criteria Type22,Criteria Type32"/>
    <w:basedOn w:val="Normal"/>
    <w:next w:val="Normal"/>
    <w:link w:val="Ttulo1Car"/>
    <w:uiPriority w:val="99"/>
    <w:qFormat/>
    <w:rsid w:val="00A5062B"/>
    <w:pPr>
      <w:keepNext/>
      <w:keepLines/>
      <w:pBdr>
        <w:bottom w:val="single" w:sz="8" w:space="1" w:color="92D050"/>
      </w:pBdr>
      <w:spacing w:before="480" w:after="0"/>
      <w:ind w:right="340"/>
      <w:outlineLvl w:val="0"/>
    </w:pPr>
    <w:rPr>
      <w:rFonts w:eastAsia="Times New Roman"/>
      <w:bCs/>
      <w:color w:val="8FD400"/>
      <w:sz w:val="48"/>
      <w:szCs w:val="28"/>
    </w:rPr>
  </w:style>
  <w:style w:type="paragraph" w:styleId="Ttulo2">
    <w:name w:val="heading 2"/>
    <w:aliases w:val="título 2,H2,OdsKap2,CdsÜberschrift 2,Heading 2 Hidden,heading 21,Heading 2 Hidden1,H21,H22,h2,2,Header 2,CHS,H2-Heading 2,l2,Header2,22,heading2,list2,A,A.B.C.,list 2,Heading2,Heading Indent No L2,Chapter Number/Appendix Letter,chn"/>
    <w:basedOn w:val="Normal"/>
    <w:next w:val="Normal"/>
    <w:link w:val="Ttulo2Car"/>
    <w:autoRedefine/>
    <w:uiPriority w:val="99"/>
    <w:qFormat/>
    <w:rsid w:val="00A5062B"/>
    <w:pPr>
      <w:keepNext/>
      <w:numPr>
        <w:ilvl w:val="1"/>
        <w:numId w:val="1"/>
      </w:numPr>
      <w:spacing w:before="120" w:after="0"/>
      <w:jc w:val="left"/>
      <w:outlineLvl w:val="1"/>
    </w:pPr>
    <w:rPr>
      <w:rFonts w:cs="Arial"/>
      <w:bCs/>
      <w:color w:val="3A5523"/>
      <w:sz w:val="28"/>
    </w:rPr>
  </w:style>
  <w:style w:type="paragraph" w:styleId="Ttulo3">
    <w:name w:val="heading 3"/>
    <w:aliases w:val="título 3,H3,Bold Head,bh,Heading 1.5,OdsKap3,CdsÜberschrift 3,H31,H32,h3,3,H3-Heading 3,l3.3,l3,Bullet 1°,Paragraph Heading,Level 1 - 1,CT,list 3,list3,Section,H3-Heading 31,31,l3.31,h31,l31,list 31,list31,heading 31,Section1"/>
    <w:basedOn w:val="Normal"/>
    <w:next w:val="Normal"/>
    <w:link w:val="Ttulo3Car"/>
    <w:autoRedefine/>
    <w:uiPriority w:val="99"/>
    <w:qFormat/>
    <w:rsid w:val="00A5062B"/>
    <w:pPr>
      <w:keepNext/>
      <w:keepLines/>
      <w:numPr>
        <w:ilvl w:val="2"/>
        <w:numId w:val="1"/>
      </w:numPr>
      <w:spacing w:before="120" w:after="0"/>
      <w:outlineLvl w:val="2"/>
    </w:pPr>
    <w:rPr>
      <w:rFonts w:eastAsia="Times New Roman"/>
      <w:bCs/>
      <w:color w:val="52525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Criteria Type Car,Criteria Type1 Car,Criteria Type2 Car,Criteria Type3 Car,Criteria Type11 Car,Criteria Type4 Car,Criteria Type5 Car,Criteria Type12 Car,Criteria Type21 Car,Criteria Type31 Car,Criteria Type111 Car,Criteria Type6 Car"/>
    <w:basedOn w:val="Fuentedeprrafopredeter"/>
    <w:link w:val="Ttulo1"/>
    <w:uiPriority w:val="99"/>
    <w:locked/>
    <w:rsid w:val="00A5062B"/>
    <w:rPr>
      <w:rFonts w:ascii="Arial Nova Cond" w:hAnsi="Arial Nova Cond" w:cs="Times New Roman"/>
      <w:bCs/>
      <w:color w:val="8FD400"/>
      <w:sz w:val="28"/>
      <w:szCs w:val="28"/>
    </w:rPr>
  </w:style>
  <w:style w:type="character" w:customStyle="1" w:styleId="Heading2Char">
    <w:name w:val="Heading 2 Char"/>
    <w:aliases w:val="título 2 Char,H2 Char,OdsKap2 Char,CdsÜberschrift 2 Char,Heading 2 Hidden Char,heading 21 Char,Heading 2 Hidden1 Char,H21 Char,H22 Char,h2 Char,2 Char,Header 2 Char,CHS Char,H2-Heading 2 Char,l2 Char,Header2 Char,22 Char,heading2 Char"/>
    <w:basedOn w:val="Fuentedeprrafopredeter"/>
    <w:uiPriority w:val="99"/>
    <w:semiHidden/>
    <w:locked/>
    <w:rPr>
      <w:rFonts w:ascii="Cambria" w:hAnsi="Cambria" w:cs="Times New Roman"/>
      <w:b/>
      <w:bCs/>
      <w:i/>
      <w:iCs/>
      <w:color w:val="262626"/>
      <w:sz w:val="28"/>
      <w:szCs w:val="28"/>
      <w:lang w:eastAsia="en-US"/>
    </w:rPr>
  </w:style>
  <w:style w:type="character" w:customStyle="1" w:styleId="Ttulo3Car">
    <w:name w:val="Título 3 Car"/>
    <w:aliases w:val="título 3 Car,H3 Car,Bold Head Car,bh Car,Heading 1.5 Car,OdsKap3 Car,CdsÜberschrift 3 Car,H31 Car,H32 Car,h3 Car,3 Car,H3-Heading 3 Car,l3.3 Car,l3 Car,Bullet 1° Car,Paragraph Heading Car,Level 1 - 1 Car,CT Car,list 3 Car,list3 Car,31 Car"/>
    <w:basedOn w:val="Fuentedeprrafopredeter"/>
    <w:link w:val="Ttulo3"/>
    <w:uiPriority w:val="99"/>
    <w:locked/>
    <w:rsid w:val="00A5062B"/>
    <w:rPr>
      <w:rFonts w:ascii="Arial Nova Cond" w:hAnsi="Arial Nova Cond" w:cs="Times New Roman"/>
      <w:bCs/>
      <w:color w:val="525252"/>
      <w:sz w:val="24"/>
      <w:szCs w:val="24"/>
    </w:rPr>
  </w:style>
  <w:style w:type="character" w:customStyle="1" w:styleId="Ttulo2Car">
    <w:name w:val="Título 2 Car"/>
    <w:aliases w:val="título 2 Car,H2 Car,OdsKap2 Car,CdsÜberschrift 2 Car,Heading 2 Hidden Car,heading 21 Car,Heading 2 Hidden1 Car,H21 Car,H22 Car,h2 Car,2 Car,Header 2 Car,CHS Car,H2-Heading 2 Car,l2 Car,Header2 Car,22 Car,heading2 Car,list2 Car,A Car,chn Car"/>
    <w:basedOn w:val="Fuentedeprrafopredeter"/>
    <w:link w:val="Ttulo2"/>
    <w:uiPriority w:val="99"/>
    <w:locked/>
    <w:rsid w:val="00A5062B"/>
    <w:rPr>
      <w:rFonts w:ascii="Arial Nova Cond" w:hAnsi="Arial Nova Cond" w:cs="Arial"/>
      <w:bCs/>
      <w:color w:val="3A5523"/>
      <w:sz w:val="20"/>
      <w:szCs w:val="20"/>
    </w:rPr>
  </w:style>
  <w:style w:type="paragraph" w:styleId="Prrafodelista">
    <w:name w:val="List Paragraph"/>
    <w:basedOn w:val="Normal"/>
    <w:link w:val="PrrafodelistaCar"/>
    <w:uiPriority w:val="99"/>
    <w:qFormat/>
    <w:rsid w:val="00A5062B"/>
    <w:pPr>
      <w:spacing w:after="0"/>
      <w:ind w:left="709"/>
    </w:pPr>
    <w:rPr>
      <w:rFonts w:eastAsia="Times New Roman"/>
      <w:lang w:eastAsia="es-ES"/>
    </w:rPr>
  </w:style>
  <w:style w:type="character" w:customStyle="1" w:styleId="PrrafodelistaCar">
    <w:name w:val="Párrafo de lista Car"/>
    <w:basedOn w:val="Fuentedeprrafopredeter"/>
    <w:link w:val="Prrafodelista"/>
    <w:uiPriority w:val="99"/>
    <w:locked/>
    <w:rsid w:val="00A5062B"/>
    <w:rPr>
      <w:rFonts w:ascii="Arial Nova Cond" w:hAnsi="Arial Nova Cond" w:cs="Times New Roman"/>
      <w:color w:val="262626"/>
      <w:sz w:val="20"/>
      <w:szCs w:val="20"/>
      <w:lang w:eastAsia="es-ES"/>
    </w:rPr>
  </w:style>
  <w:style w:type="paragraph" w:styleId="Encabezado">
    <w:name w:val="header"/>
    <w:basedOn w:val="Normal"/>
    <w:link w:val="EncabezadoCar"/>
    <w:uiPriority w:val="99"/>
    <w:rsid w:val="009E03D9"/>
    <w:pPr>
      <w:tabs>
        <w:tab w:val="center" w:pos="4252"/>
        <w:tab w:val="right" w:pos="8504"/>
      </w:tabs>
      <w:spacing w:after="0"/>
    </w:pPr>
  </w:style>
  <w:style w:type="character" w:customStyle="1" w:styleId="EncabezadoCar">
    <w:name w:val="Encabezado Car"/>
    <w:basedOn w:val="Fuentedeprrafopredeter"/>
    <w:link w:val="Encabezado"/>
    <w:uiPriority w:val="99"/>
    <w:locked/>
    <w:rsid w:val="009E03D9"/>
    <w:rPr>
      <w:rFonts w:ascii="Arial Nova Cond" w:hAnsi="Arial Nova Cond" w:cs="Times New Roman"/>
      <w:color w:val="262626"/>
      <w:sz w:val="20"/>
      <w:szCs w:val="20"/>
    </w:rPr>
  </w:style>
  <w:style w:type="paragraph" w:styleId="Piedepgina">
    <w:name w:val="footer"/>
    <w:basedOn w:val="Normal"/>
    <w:link w:val="PiedepginaCar"/>
    <w:uiPriority w:val="99"/>
    <w:rsid w:val="009E03D9"/>
    <w:pPr>
      <w:tabs>
        <w:tab w:val="center" w:pos="4252"/>
        <w:tab w:val="right" w:pos="8504"/>
      </w:tabs>
      <w:spacing w:after="0"/>
    </w:pPr>
  </w:style>
  <w:style w:type="character" w:customStyle="1" w:styleId="PiedepginaCar">
    <w:name w:val="Pie de página Car"/>
    <w:basedOn w:val="Fuentedeprrafopredeter"/>
    <w:link w:val="Piedepgina"/>
    <w:uiPriority w:val="99"/>
    <w:locked/>
    <w:rsid w:val="009E03D9"/>
    <w:rPr>
      <w:rFonts w:ascii="Arial Nova Cond" w:hAnsi="Arial Nova Cond" w:cs="Times New Roman"/>
      <w:color w:val="262626"/>
      <w:sz w:val="20"/>
      <w:szCs w:val="20"/>
    </w:rPr>
  </w:style>
  <w:style w:type="paragraph" w:styleId="Textodeglobo">
    <w:name w:val="Balloon Text"/>
    <w:basedOn w:val="Normal"/>
    <w:link w:val="TextodegloboCar"/>
    <w:uiPriority w:val="99"/>
    <w:semiHidden/>
    <w:rsid w:val="004C204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color w:val="262626"/>
      <w:sz w:val="2"/>
      <w:lang w:eastAsia="en-US"/>
    </w:rPr>
  </w:style>
  <w:style w:type="character" w:styleId="Nmerodepgina">
    <w:name w:val="page number"/>
    <w:basedOn w:val="Fuentedeprrafopredeter"/>
    <w:uiPriority w:val="99"/>
    <w:rsid w:val="00177779"/>
    <w:rPr>
      <w:rFonts w:cs="Times New Roman"/>
    </w:rPr>
  </w:style>
  <w:style w:type="paragraph" w:customStyle="1" w:styleId="parrafo">
    <w:name w:val="parrafo"/>
    <w:basedOn w:val="Normal"/>
    <w:uiPriority w:val="99"/>
    <w:rsid w:val="002045F1"/>
    <w:pPr>
      <w:spacing w:before="100" w:beforeAutospacing="1" w:after="100" w:afterAutospacing="1"/>
      <w:jc w:val="left"/>
    </w:pPr>
    <w:rPr>
      <w:rFonts w:ascii="Times New Roman" w:hAnsi="Times New Roman"/>
      <w:color w:val="auto"/>
      <w:sz w:val="24"/>
      <w:szCs w:val="24"/>
      <w:lang w:eastAsia="es-ES"/>
    </w:rPr>
  </w:style>
  <w:style w:type="paragraph" w:customStyle="1" w:styleId="parrafo2">
    <w:name w:val="parrafo_2"/>
    <w:basedOn w:val="Normal"/>
    <w:uiPriority w:val="99"/>
    <w:rsid w:val="002045F1"/>
    <w:pPr>
      <w:spacing w:before="100" w:beforeAutospacing="1" w:after="100" w:afterAutospacing="1"/>
      <w:jc w:val="left"/>
    </w:pPr>
    <w:rPr>
      <w:rFonts w:ascii="Times New Roman" w:hAnsi="Times New Roman"/>
      <w:color w:val="auto"/>
      <w:sz w:val="24"/>
      <w:szCs w:val="24"/>
      <w:lang w:eastAsia="es-ES"/>
    </w:rPr>
  </w:style>
  <w:style w:type="character" w:styleId="Refdecomentario">
    <w:name w:val="annotation reference"/>
    <w:basedOn w:val="Fuentedeprrafopredeter"/>
    <w:uiPriority w:val="99"/>
    <w:semiHidden/>
    <w:unhideWhenUsed/>
    <w:rsid w:val="009C0325"/>
    <w:rPr>
      <w:sz w:val="16"/>
      <w:szCs w:val="16"/>
    </w:rPr>
  </w:style>
  <w:style w:type="paragraph" w:styleId="Textocomentario">
    <w:name w:val="annotation text"/>
    <w:basedOn w:val="Normal"/>
    <w:link w:val="TextocomentarioCar"/>
    <w:uiPriority w:val="99"/>
    <w:semiHidden/>
    <w:unhideWhenUsed/>
    <w:rsid w:val="009C0325"/>
  </w:style>
  <w:style w:type="character" w:customStyle="1" w:styleId="TextocomentarioCar">
    <w:name w:val="Texto comentario Car"/>
    <w:basedOn w:val="Fuentedeprrafopredeter"/>
    <w:link w:val="Textocomentario"/>
    <w:uiPriority w:val="99"/>
    <w:semiHidden/>
    <w:rsid w:val="009C0325"/>
    <w:rPr>
      <w:rFonts w:ascii="Arial Nova Cond" w:hAnsi="Arial Nova Cond"/>
      <w:color w:val="262626"/>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C0325"/>
    <w:rPr>
      <w:b/>
      <w:bCs/>
    </w:rPr>
  </w:style>
  <w:style w:type="character" w:customStyle="1" w:styleId="AsuntodelcomentarioCar">
    <w:name w:val="Asunto del comentario Car"/>
    <w:basedOn w:val="TextocomentarioCar"/>
    <w:link w:val="Asuntodelcomentario"/>
    <w:uiPriority w:val="99"/>
    <w:semiHidden/>
    <w:rsid w:val="009C0325"/>
    <w:rPr>
      <w:rFonts w:ascii="Arial Nova Cond" w:hAnsi="Arial Nova Cond"/>
      <w:b/>
      <w:bCs/>
      <w:color w:val="26262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217">
      <w:bodyDiv w:val="1"/>
      <w:marLeft w:val="0"/>
      <w:marRight w:val="0"/>
      <w:marTop w:val="0"/>
      <w:marBottom w:val="0"/>
      <w:divBdr>
        <w:top w:val="none" w:sz="0" w:space="0" w:color="auto"/>
        <w:left w:val="none" w:sz="0" w:space="0" w:color="auto"/>
        <w:bottom w:val="none" w:sz="0" w:space="0" w:color="auto"/>
        <w:right w:val="none" w:sz="0" w:space="0" w:color="auto"/>
      </w:divBdr>
    </w:div>
    <w:div w:id="920875663">
      <w:marLeft w:val="0"/>
      <w:marRight w:val="0"/>
      <w:marTop w:val="0"/>
      <w:marBottom w:val="0"/>
      <w:divBdr>
        <w:top w:val="none" w:sz="0" w:space="0" w:color="auto"/>
        <w:left w:val="none" w:sz="0" w:space="0" w:color="auto"/>
        <w:bottom w:val="none" w:sz="0" w:space="0" w:color="auto"/>
        <w:right w:val="none" w:sz="0" w:space="0" w:color="auto"/>
      </w:divBdr>
    </w:div>
    <w:div w:id="920875664">
      <w:marLeft w:val="0"/>
      <w:marRight w:val="0"/>
      <w:marTop w:val="0"/>
      <w:marBottom w:val="0"/>
      <w:divBdr>
        <w:top w:val="none" w:sz="0" w:space="0" w:color="auto"/>
        <w:left w:val="none" w:sz="0" w:space="0" w:color="auto"/>
        <w:bottom w:val="none" w:sz="0" w:space="0" w:color="auto"/>
        <w:right w:val="none" w:sz="0" w:space="0" w:color="auto"/>
      </w:divBdr>
    </w:div>
    <w:div w:id="1555115500">
      <w:bodyDiv w:val="1"/>
      <w:marLeft w:val="0"/>
      <w:marRight w:val="0"/>
      <w:marTop w:val="0"/>
      <w:marBottom w:val="0"/>
      <w:divBdr>
        <w:top w:val="none" w:sz="0" w:space="0" w:color="auto"/>
        <w:left w:val="none" w:sz="0" w:space="0" w:color="auto"/>
        <w:bottom w:val="none" w:sz="0" w:space="0" w:color="auto"/>
        <w:right w:val="none" w:sz="0" w:space="0" w:color="auto"/>
      </w:divBdr>
      <w:divsChild>
        <w:div w:id="829828519">
          <w:marLeft w:val="0"/>
          <w:marRight w:val="0"/>
          <w:marTop w:val="0"/>
          <w:marBottom w:val="0"/>
          <w:divBdr>
            <w:top w:val="none" w:sz="0" w:space="0" w:color="auto"/>
            <w:left w:val="none" w:sz="0" w:space="0" w:color="auto"/>
            <w:bottom w:val="none" w:sz="0" w:space="0" w:color="auto"/>
            <w:right w:val="none" w:sz="0" w:space="0" w:color="auto"/>
          </w:divBdr>
        </w:div>
        <w:div w:id="62794900">
          <w:marLeft w:val="0"/>
          <w:marRight w:val="0"/>
          <w:marTop w:val="0"/>
          <w:marBottom w:val="0"/>
          <w:divBdr>
            <w:top w:val="none" w:sz="0" w:space="0" w:color="auto"/>
            <w:left w:val="none" w:sz="0" w:space="0" w:color="auto"/>
            <w:bottom w:val="none" w:sz="0" w:space="0" w:color="auto"/>
            <w:right w:val="none" w:sz="0" w:space="0" w:color="auto"/>
          </w:divBdr>
        </w:div>
        <w:div w:id="99106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7364</Words>
  <Characters>38481</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Jesús Del Río González</dc:creator>
  <cp:keywords/>
  <dc:description/>
  <cp:lastModifiedBy>Mª Jesús Del Río González</cp:lastModifiedBy>
  <cp:revision>2</cp:revision>
  <cp:lastPrinted>2022-02-11T09:40:00Z</cp:lastPrinted>
  <dcterms:created xsi:type="dcterms:W3CDTF">2023-10-11T08:07:00Z</dcterms:created>
  <dcterms:modified xsi:type="dcterms:W3CDTF">2023-10-11T08:07:00Z</dcterms:modified>
</cp:coreProperties>
</file>